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Age Care Central Limited - Maryann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Age Care Central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Maryann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2018</w:t>
      </w:r>
      <w:bookmarkEnd w:id="7"/>
      <w:r w:rsidRPr="009418D4">
        <w:rPr>
          <w:rFonts w:cs="Arial"/>
        </w:rPr>
        <w:tab/>
        <w:t xml:space="preserve">End date: </w:t>
      </w:r>
      <w:bookmarkStart w:id="8" w:name="AuditEndDate"/>
      <w:r w:rsidR="00A4268A">
        <w:rPr>
          <w:rFonts w:cs="Arial"/>
        </w:rPr>
        <w:t>2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Maryann Residential Home and Hospital provides dementia, rest home and hospital level care for up to 48 residents. The service is operated by Age Care Central Limited (ACL) and managed by a chief executive who is supported by a clinical manager and a nurse manager. Families and residents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This audit has resulted in no areas identified as requiring improvement.  Improvements have been made to advance directives, internal audit, corrective actions, dementia unit staff training, documentation within care plans in particular behaviour monitoring and wound care, restraint risk assessments and restraint evaluation, which address those areas requiring improvement at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quality improvement and business goals plan 2016 - 2019 includes the mission statement, philosophy of care and goals of Age Care Central Limited (ACL).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by the CEO and designated senior staff.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Maryann Rest Home and Hospital have their needs assessed by the multidisciplinary team on admission within the required timeframes. Verbal handovers and electronic handover reports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Acute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an activities coordinator and an activities assistant with oversight from a diversional therapist.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has been recently upgraded,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uses at the time of audit. Two restraints were in use.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6"/>
        <w:gridCol w:w="1280"/>
        <w:gridCol w:w="101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was defined and documented, as relevant, in the residents’ records. Residents in the dementia unit had documented EPOAs on file. Advance directives were seen to be current and the need for this was understood by staff interviewed. The previous corrective action request (CAR)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ACL complaints and concerns policy, flowchart and associated forms meet the requirements of Right 10 of the Code.  Information on the complaint process is readily available throughout the facility and is provided to residents and families on admission.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four complaints have been received this year and that actions taken, through to an agreed resolution, are documented and completed within the timeframes.  Action plans showed any required follow up and improvements have been made where possible.  The chief executive officer confirmed he is ultimately responsible for complaints management and follow up and that this is done in conjunction with the relevant clinical or non-clinical manager.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reported that they inform family members of any changes following medical review and should an incident occur.  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through the local DHB, or family members although reported this was rarely required due to residents being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and business goals plan 2016 - 2019, outlines the mission, philosophy and goals of the entire organisation. The document describes annual and longer-term objectives and includes associated operational plans. Annual progress against the objectives was most recently reviewed in December 2017. A sample of management meeting minutes showed adequate information to monitor performance is reported including but not limited to; bed occupancy, financial performance, staffing, training, emerging risks and issues. Managers’ quarterly reports to the CEO are provided to the board of trustees as part of the board meetings as indicated in the board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along with Marire Rest Home by a CEO, a nurse manager and a clinical manager who hold relevant qualifications. The nurse manager and the clinical manager have been in their roles for two and a half years. These registered nurses share clinical management responsibilities, are based at this facility and work a total of 60 hours per week between them, across both sites. The facilities are situated only two kilometres away from each other.  Responsibilities and accountabilities are defined in their job descriptions and individual employment agreements.  The CEO, nurse manager, clinical manager and clinical coordinator confirmed knowledge of the sector, regulatory and reporting requirements. The CEO maintains currency in his role as deputy chair of Taranaki District Hospital Board, and through membership of the Aged Care Association. The nurse managers maintain professional knowledge through ongoing education including the Ko Awatea online learning, Taranaki DHB Leadership in Aged Care forum attendance and hospice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Ministry of Health (MOH) for Young Persons with Physical Disabilities (YPD) and the Taranaki DHB for dementia services and chronic long-term conditions, including for respite and age related residential care (ARRC).  Two people were receiving services under the MOH YPD contract; one person was in the rest home and the other in the hospital. 15 people residing in the dementia unit were receiving dementia services under the DHB ARRC contract, 19 people were receiving services in the hospital and eight residents were receiving services in the rest home under the DHB ARRC contract.   No one was accessing residential respite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ACL has a planned quality and risk system, used at Maryann Residential Care Home and Hospital, that reflects the principles of continuous quality improvement. This includes management of incidents, concerns and complaints, audit activities, a regular resident and family satisfaction survey, monitoring of outcomes, including restraint use, clinical incidents including infections, skin tears, falls, medication errors and any other resident or staff related adverse events.</w:t>
            </w:r>
          </w:p>
          <w:p w:rsidR="00EB7645" w:rsidRPr="00BE00C7" w:rsidP="00BE00C7">
            <w:pPr>
              <w:pStyle w:val="OutcomeDescription"/>
              <w:spacing w:before="120" w:after="120"/>
              <w:rPr>
                <w:rFonts w:cs="Arial"/>
                <w:b w:val="0"/>
                <w:lang w:eastAsia="en-NZ"/>
              </w:rPr>
            </w:pPr>
            <w:r w:rsidRPr="00BE00C7">
              <w:rPr>
                <w:rFonts w:cs="Arial"/>
                <w:b w:val="0"/>
                <w:lang w:eastAsia="en-NZ"/>
              </w:rPr>
              <w:t>Analysis monitoring, trending and reporting of clinical indicators is completed by the clinical coordinator and provided to staff within the electronic system. Meeting minutes reviewed confirmed regular review and analysis of quality indicators and that related information is reported and discussed at the management team meeting, health and safety and risk team meetings, RN and restraint group meetings, health care assistant (HCA) meetings, team meetings and residents’ meetings. Staff reported their involvement in and awareness of quality and risk management activities through meeting attendance and audit activity. Internal audits have been completed as required by the internal audit programme. The corrective action from the previous audit relating to the internal audit schedule the analysis of data and the communication of results to staff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identified shortfalls result in relevant corrective actions being developed and implemented to address the issue. The up to date corrective action register indicated a timely resolution and sign off process has been imbedded. The corrective action from the previous audit relating to clinical corrective actions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and the results are shared with staff and residents. The most recent families survey in April this year showed overall satisfaction by ten of eleven respondents. Verbatim comments included ‘I really appreciate the way staff take a personal interest in my relative’, and ‘I find the staff very pleasant and able’. Areas for improvement were identified by four respondents, regarding the range of activities offered, which has been addressed by the activities staff.</w:t>
            </w:r>
          </w:p>
          <w:p w:rsidR="00EB7645" w:rsidRPr="00BE00C7" w:rsidP="00BE00C7">
            <w:pPr>
              <w:pStyle w:val="OutcomeDescription"/>
              <w:spacing w:before="120" w:after="120"/>
              <w:rPr>
                <w:rFonts w:cs="Arial"/>
                <w:b w:val="0"/>
                <w:lang w:eastAsia="en-NZ"/>
              </w:rPr>
            </w:pPr>
            <w:r w:rsidRPr="00BE00C7">
              <w:rPr>
                <w:rFonts w:cs="Arial"/>
                <w:b w:val="0"/>
                <w:lang w:eastAsia="en-NZ"/>
              </w:rPr>
              <w:t>Policies are based on best practice and were current. The electronic document control system ensures a systematic and regular review process, referencing of relevant sources, approval, distribution and removal of obsolete documents. The CEO, clinical manager, nurse manager and senior staff are each delegated responsibility for specific organisation wide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CEO described the processes for the identification, monitoring, review and reporting of risks and development of mitigation strategies. The CEO reported he is familiar with the Health and Safety at Work Act (2015) and has implemented requirements in conjunction with the domestic services supervisor.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each of the regular staff meetings, the management meetings, and the board and directly to all staff through the electronic notification system.</w:t>
            </w:r>
          </w:p>
          <w:p w:rsidR="00EB7645" w:rsidRPr="00BE00C7" w:rsidP="00BE00C7">
            <w:pPr>
              <w:pStyle w:val="OutcomeDescription"/>
              <w:spacing w:before="120" w:after="120"/>
              <w:rPr>
                <w:rFonts w:cs="Arial"/>
                <w:b w:val="0"/>
                <w:lang w:eastAsia="en-NZ"/>
              </w:rPr>
            </w:pPr>
            <w:r w:rsidRPr="00BE00C7">
              <w:rPr>
                <w:rFonts w:cs="Arial"/>
                <w:b w:val="0"/>
                <w:lang w:eastAsia="en-NZ"/>
              </w:rPr>
              <w:t>The CEO and clinical managers described essential notification reporting requirements (Section 31 notifications), including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ACL 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RNs reported they had a preceptor, and care staff reported that they had a ‘buddy’ to assist them. Staff reported that the orientation process prepared them well for their role.  Staff records reviewed showed documentation of completed orientation and regular performance reviews.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An external person is the assessor for the programme.  Staff working in the dementia care area have either completed or are enrolled in the required education and the corrective action from the previous audit regarding this has been addressed. There are sufficient trained and competent registered nurses who are maintaining their annual competency requirements to undertake interRAI assessments. Records reviewed demonstrated completion of the required training and completion of annual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senior staff and managers adjust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clinical co-ordinator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Maryann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was reviewed by a qualified dietitian in July 2018. Recommendations made at that time have been implemented and verified by the dietician.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and registered with the Stratford District Council on 14 June 2018. A verification audit was undertaken on 17 August 2018. Recommendations made at the audit have been verified as being addressed. </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recently been upgraded with new chillers and appliances now operating. The kitchen was spacious, and well equipped to respond to increasing demands. 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of the rest home have a choice of dining rooms to eat their meal. All generally choose to eat their meal in the hospital dining room. Residents were seen to be given time to eat their meal in an unhurried fashion and those requiring assistance had this provided. Gentle pleasant music reflective of residents’ likes, was playing in the background, enhancing a relaxed atmosphere for residents to eat their meal.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all times of the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Photographs evidenced improvements in wounds, no evidence of weight loss in the files reviewed was noted, and behaviour monitoring charts evidenced effectiveness with management strategies. The findings verified a previous corrective action request around interventions to manage behaviours and wounds, and timely review of wound monitoring, has been addressed. The facility was observed to be calm. Staff were observed to be responsive, happy and respectful. The GP interviewed, verified that medical input is sought in a timely manner, that medical orders are followed, and care is of a high standard. Care staff confirmed that care was provided as outlined in the documentation. Specialist services voiced a high regard for the services provided.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recreation co-ordinator who has nearly finished the diversional therapy training, and a recreation assistant. The programme is overseen by a trained diversional therapist and operates every day of the week. The recreation co-ordinator, who manages the programme was unavailable on the day of audit. Interview regarding activities was with the recreation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Notations in the resident’s activity plan are made twice a day and enable ongoing assessment regarding the resident’s participation.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A range of community groups congregate at Maryann Rest Home and Hospital enabling residents to continue participating in these community groups and mixing with friends. Several residents walk into town, bike around town or use mobility scooters to get out and about. A facility van is available for outings.</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provided for residents of the secure unit, seven days a week. While a programme is planned, it is flexible and adaptable to the daily needs of the residents. On some days the residents from the unit join the activity sessions in the hospital/rest home. This is particularly occurring during the monthly themed events and days when visiting groups are at the facility. Residents in the secure unit and other residents with dementia, have a twenty-four-hour activity plan in their care plan that identifies the activities that suit the resident at certain times of the day.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acute care plans being consistently reviewed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May 2019, is publicly displayed in the main reception.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is appropriate to that recommended for long term care facilities, with infection definitions reflecting a focus on symptoms rather than laboratory results. These include urinary tract, soft tissue, fungal, eye, gastro-intestinal, the upper and lower respiratory tract and scabies. Infections are diagnosed by the GP. When an infection is identified, an infection form is filled out in the resident’s electronic care plan. Interventions are put in place, and an infection alert highlights the infection, until it is recorded as resolved.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reviews all reported infections. Monthly surveillance data is collated and analysed to identify any trends, possible causative factors and required actions. Results of the surveillance programme are shared with staff via the electronic care management system, staff meetings and at staff handovers. Surveillance data is carried over into in the organisation’s electronic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provide guidance on the safe use of both restraints and enablers.  The clinical coordinator who performs the role of restraint coordinator provides support and oversight for enabler and restraint management in this facility. She demonstrated a sound understanding of ACL’s policies, procedures and practices The restraint coordinator was also aware of  and her role and responsibilities regarding restraint practices and expressed a strong desire to have a restraint free facility, giving examples of trials to remove the current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a restraint in the form of padded bedrails. No residents were using enablers. Staff described enablers as being the least restrictive and used voluntarily at a resident’s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within the electronic residents’ files and included all requirements of the Standard. An RN undertakes the initial assessment with the restraint coordinator’s involvement, and input from the resident’s family/whānau/EPOA as relevant. The restraint coordinator and staff described the documented process.  Families’ involvement was confirmed in the residents’ files. The general practitioner is involved in the final decision on the safety of the use of the restraint. The assessment process identified the underlying cause, history of restraint use, cultural considerations, alternatives and associated risks. This documentation of risk within the care plan addressed the corrective action from the previous audit. The desired outcome was to ensure the resident’s safety and security. Completed assessments were sighted in the records of the two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electronic files and restraint meeting minutes showed that the individual use of restraints is reviewed and evaluated during care plan and interRAI reviews, six monthly restraint evaluations and at the restraint approval group meetings.  Staff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and past attempts to eliminate use, the impact and outcomes achieved, if the policy and procedure was followed and documentation completed as required. Improvements have been made following the previous audit to ensure evaluation of restraints used addresses all aspect of the criterion.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Age Care Central Limited - Maryann Rest Home and Hospital</w:t>
    </w:r>
    <w:bookmarkEnd w:id="58"/>
    <w:r>
      <w:rPr>
        <w:rFonts w:cs="Arial"/>
        <w:sz w:val="16"/>
        <w:szCs w:val="20"/>
      </w:rPr>
      <w:tab/>
      <w:t xml:space="preserve">Date of Audit: </w:t>
    </w:r>
    <w:bookmarkStart w:id="59" w:name="AuditStartDate1"/>
    <w:r>
      <w:rPr>
        <w:rFonts w:cs="Arial"/>
        <w:sz w:val="16"/>
        <w:szCs w:val="20"/>
      </w:rPr>
      <w:t>1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