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Tamahere Eventide Home Trust - Tamahere Eventide Home &amp;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Tamahere Eventide Home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Tamahere Eventide Home &amp;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October 2018</w:t>
      </w:r>
      <w:bookmarkEnd w:id="7"/>
      <w:r w:rsidRPr="009418D4">
        <w:rPr>
          <w:rFonts w:cs="Arial"/>
        </w:rPr>
        <w:tab/>
        <w:t xml:space="preserve">End date: </w:t>
      </w:r>
      <w:bookmarkStart w:id="8" w:name="AuditEndDate"/>
      <w:r w:rsidR="00A4268A">
        <w:rPr>
          <w:rFonts w:cs="Arial"/>
        </w:rPr>
        <w:t>23 October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Tamahere Eventide Home and Village provides rest home and dementia level care for up to 84 residents. The service is operated by The Tamahere Eventide Home Trust Board and is managed by a chief executive officer (CEO) and general managers (GM).  One GM oversees care services and activities and another oversees the village and support services, such as food, grounds and maintenance. </w:t>
      </w:r>
    </w:p>
    <w:p w:rsidRPr="00A4268A">
      <w:pPr>
        <w:spacing w:before="240" w:line="276" w:lineRule="auto"/>
        <w:rPr>
          <w:rFonts w:eastAsia="Calibri"/>
        </w:rPr>
      </w:pPr>
      <w:r w:rsidRPr="00A4268A">
        <w:rPr>
          <w:rFonts w:eastAsia="Calibri"/>
        </w:rPr>
        <w:t>The most significant change to governance and operations since the previous audit, has been the acquisition of another large age care facility -Assisi Atawhai Home and Hospital, in early 2018 which provides rest home and hospital level care. Support services and management of both facilities is shared across both sites. A review of the organisational structure resulted in the development of clinical nurse leader positions and subsequent appointments. Another board member to represent the other facility was appointed. There is more information about this in the body of this report.</w:t>
      </w:r>
    </w:p>
    <w:p w:rsidRPr="00A4268A">
      <w:pPr>
        <w:spacing w:before="240" w:line="276" w:lineRule="auto"/>
        <w:rPr>
          <w:rFonts w:eastAsia="Calibri"/>
        </w:rPr>
      </w:pPr>
      <w:r w:rsidRPr="00A4268A">
        <w:rPr>
          <w:rFonts w:eastAsia="Calibri"/>
        </w:rPr>
        <w:t>This unannounced surveillance audit was conducted against the Health and Disability Services Standards and the service’s contract with the Waikato District Health Board (WDHB). The audit process included review of documents including residents’ and staff files, observations and interviews with residents, family members, managers, staff, and a general practitioner (GP) who was onsite. Residents and their families spoke positively about the care provided.</w:t>
      </w:r>
    </w:p>
    <w:p w:rsidRPr="00A4268A">
      <w:pPr>
        <w:spacing w:before="240" w:line="276" w:lineRule="auto"/>
        <w:rPr>
          <w:rFonts w:eastAsia="Calibri"/>
        </w:rPr>
      </w:pPr>
      <w:r w:rsidRPr="00A4268A">
        <w:rPr>
          <w:rFonts w:eastAsia="Calibri"/>
        </w:rPr>
        <w:t>There were no areas requiring improvement identified at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confirmed to be effective. There is access to interpreting services if required.</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Experienced and suitably qualified people manage the services delivered.  </w:t>
      </w:r>
    </w:p>
    <w:p w:rsidRPr="00A4268A">
      <w:pPr>
        <w:spacing w:before="240" w:line="276" w:lineRule="auto"/>
        <w:rPr>
          <w:rFonts w:eastAsia="Calibri"/>
        </w:rPr>
      </w:pPr>
      <w:r w:rsidRPr="00A4268A">
        <w:rPr>
          <w:rFonts w:eastAsia="Calibri"/>
        </w:rPr>
        <w:t xml:space="preserve">The quality and risk management system includes monitoring service delivery and other operations against key performance indicators. Quality improvement data is collected and benchmarked nationally. Outcomes are analysed for trends and lead to improvements. Staff are involved, and feedback is sought from residents and families. </w:t>
      </w:r>
    </w:p>
    <w:p w:rsidRPr="00A4268A">
      <w:pPr>
        <w:spacing w:before="240" w:line="276" w:lineRule="auto"/>
        <w:rPr>
          <w:rFonts w:eastAsia="Calibri"/>
        </w:rPr>
      </w:pPr>
      <w:r w:rsidRPr="00A4268A">
        <w:rPr>
          <w:rFonts w:eastAsia="Calibri"/>
        </w:rPr>
        <w:t xml:space="preserve">Adverse events are documented with corrective actions implemented. Actual and potential risks, including health and safety risks, are identified and mitigated. Policies and procedures support service delivery. These were current and are reviewed regularly. </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service is coordinated in a manner that promotes continuity in service delivery and promotes a team approach to care delivery.  The processes for assessment, planning, provision of care, transfer and review are provided within time frames that safely meet the needs of the residents and contractual requirements.</w:t>
      </w:r>
    </w:p>
    <w:p w:rsidRPr="00A4268A" w:rsidP="00621629">
      <w:pPr>
        <w:spacing w:before="240" w:line="276" w:lineRule="auto"/>
        <w:rPr>
          <w:rFonts w:eastAsia="Calibri"/>
        </w:rPr>
      </w:pPr>
      <w:r w:rsidRPr="00A4268A">
        <w:rPr>
          <w:rFonts w:eastAsia="Calibri"/>
        </w:rPr>
        <w:t>There are no residents who affiliate as Māori at the time of audit.  There was no evidence of abuse, neglect or discrimination.</w:t>
      </w:r>
    </w:p>
    <w:p w:rsidRPr="00A4268A" w:rsidP="00621629">
      <w:pPr>
        <w:spacing w:before="240" w:line="276" w:lineRule="auto"/>
        <w:rPr>
          <w:rFonts w:eastAsia="Calibri"/>
        </w:rPr>
      </w:pPr>
      <w:r w:rsidRPr="00A4268A">
        <w:rPr>
          <w:rFonts w:eastAsia="Calibri"/>
        </w:rPr>
        <w:t xml:space="preserve">All residents have interRAI assessments completed and individualised care plans related to this programme.  When there are changes to the resident’s needs, a short-term plan is developed and integrated into a long-term plan, as needed.   All care plans are evaluated at least six monthly.  </w:t>
      </w:r>
    </w:p>
    <w:p w:rsidRPr="00A4268A" w:rsidP="00621629">
      <w:pPr>
        <w:spacing w:before="240" w:line="276" w:lineRule="auto"/>
        <w:rPr>
          <w:rFonts w:eastAsia="Calibri"/>
        </w:rPr>
      </w:pPr>
      <w:r w:rsidRPr="00A4268A">
        <w:rPr>
          <w:rFonts w:eastAsia="Calibri"/>
        </w:rPr>
        <w:t>The service provides planned activities meeting the needs of the residents as individuals and in group settings.  Families reported that they are encouraged to participate in the activities of the facility and those of their relatives.</w:t>
      </w:r>
    </w:p>
    <w:p w:rsidRPr="00A4268A" w:rsidP="00621629">
      <w:pPr>
        <w:spacing w:before="240" w:line="276" w:lineRule="auto"/>
        <w:rPr>
          <w:rFonts w:eastAsia="Calibri"/>
        </w:rPr>
      </w:pPr>
      <w:r w:rsidRPr="00A4268A">
        <w:rPr>
          <w:rFonts w:eastAsia="Calibri"/>
        </w:rPr>
        <w:t xml:space="preserve">The onsite village kitchen provides and caters for residents with food available 24 hours of the day and specific dietary likes and dislikes accommodated. The service has a six-week rotating menu which has been approved by a registered dietitian. Residents’ nutritional requirements are met.   </w:t>
      </w:r>
    </w:p>
    <w:p w:rsidRPr="00A4268A" w:rsidP="00621629">
      <w:pPr>
        <w:spacing w:before="240" w:line="276" w:lineRule="auto"/>
        <w:rPr>
          <w:rFonts w:eastAsia="Calibri"/>
        </w:rPr>
      </w:pPr>
      <w:r w:rsidRPr="00A4268A">
        <w:rPr>
          <w:rFonts w:eastAsia="Calibri"/>
        </w:rPr>
        <w:t>A safe medicine administration system was observed at the time of audit.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and the buildings, chattels and equipment are being well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adheres to its policies and procedures which support the minimisation of restraint. Tamahere Eventide Home is succeeding with its philosophy to maintain a restraint free environment. There were no restraints in use at the time of this audit. Eight residents were using enablers (bed levers) voluntarily to assist them with positioning in bed.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for infections is completed every month.  Results of surveillance are reviewed to assist in minimising and reducing the risk of infection.  The infection surveillance results are reported back to staff and residents, where appropriate,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of Health and Disability Services Consumers’ Rights (the Code).  Information on the complaint process is provided to residents and families on admission and those interviewed knew what to do if they had concerns.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reviewed complaints register showed seven complaints recorded since the previous certification audit two years ago and no known complaints to the Office of the Health and Disability Commissioner. Letters of acknowledgement, ongoing communications and records of investigations had been completed within acceptable timeframes. </w:t>
            </w:r>
          </w:p>
          <w:p w:rsidR="00EB7645" w:rsidRPr="00BE00C7" w:rsidP="00BE00C7">
            <w:pPr>
              <w:pStyle w:val="OutcomeDescription"/>
              <w:spacing w:before="120" w:after="120"/>
              <w:rPr>
                <w:rFonts w:cs="Arial"/>
                <w:b w:val="0"/>
                <w:lang w:eastAsia="en-NZ"/>
              </w:rPr>
            </w:pPr>
            <w:r w:rsidRPr="00BE00C7">
              <w:rPr>
                <w:rFonts w:cs="Arial"/>
                <w:b w:val="0"/>
                <w:lang w:eastAsia="en-NZ"/>
              </w:rPr>
              <w:t>The CEO is responsible for complaints management and follow up. All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and were advised in a timely manner about any incidents or accidents. Communication about the outcomes of, and invitations to participate in regular or urgent medical reviews were forthcoming. This was supported in the residents’ records reviewed.  Staff and the managers interviewed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 interpreter policy and staff know how to access interpreter services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strategic and business plans, which are reviewed annually, outline the purpose, values, scope, direction and goals of the organisation. The documents described annual and longer-term objectives and the associated operational plans. A sample of reports to the trust board showed adequate information to monitor performance is reported including emerging risks and issues. The acquisition of another similar sized age care facility in early 2018 has significantly added to the responsibility and risks for the Trust Board and senior management team. For example, there are now 210 staff and double the number of residents, plus significant budgets and building projects to govern. The organisational structure was reviewed and new positions, such as the two clinical nurse leader positions at Tamahere Eventide Home were appointed last year. The Trust Board meeting minutes and management interviews indicated that the changes and additional demands have been seamlessly and successfully incorporated into the day to day operations. There have been no major issues reported.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Tamahere Eventide Home Trust has commenced new building works on its Tamahere site with a plan to vary the scope of certification by adding 24 dedicated hospital level beds by the end of 2019. This project has been notified to key people at WDHB.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overseen by a CEO who holds business and management qualifications and has been in the role for 21 years. Responsibilities and accountabilities are described in a job description and individual employment agreement. The CEO demonstrated knowledge of the sector, regulatory and reporting requirements and maintains currency through regular meetings with others in the aged care sector. The GM care services is a registered nurse with extensive experience in the delivery of age care services. This person engages with ongoing education in management and the clinical care of older people, and attends regular forums in the age care sector.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well as the Age Residential Care Contract (ARCC) (rest home, and dementia level care, to a maximum capacity of 84 beds), the organisation holds agreements with WDHB for residential respite services long term support-chronic health conditions and community day programme services. Tamahere Eventide Home is also a dedicated education unit in partnership with the DHB and a tertiary provider for student nursing practicum placements.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there were 82 residents occupying beds but two of these were in the public hospital and not on site. Forty were assessed as requiring secure care across the two dementia units and 40 residents were receiving rest home level care. These numbers were consistent with the Level of Care report held in the interRAI system. All residents were over the age of 65 years. There is a large retirement village on site. The CEO advised there were no retirement village residents with an occupation right agreement receiving rest home care services at this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quality and risk system which reflects the principles of continuous quality improvement. Responsibility for quality is shared across the senior management team with staff input at various stages. The system includes collation of key performance indicators/quality data which is submitted quarterly for comparison with like size age care facilities across New Zealand. The CEO and GM Care Services review and analyse all incidents, infections and complaints, and the results of resident and family satisfaction surveys for trends or areas requiring improvement. When these are identified, causes are researched and remedial actions are agreed and implemented. The organisation has robust systems for monitoring of service and organisational performance. Outcomes of service performance monitoring are shared with all staff. This was evidenced in staff meeting minutes, in memos and communication books and by information displayed on the staff room walls.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and information is reported and discussed at regular health and safety, infection control, restraint and quality and risk team meetings, and general staff meetings. Staff reported their involvement in quality and risk management activities through audit activities, training and information shared at meetings. The General Manager Care Services keeps staff informed about areas requiring improvement or policy/process changes by memos and verbally at meetings. Review of the most recent resident and family satisfaction surveys revealed no significant issues and high levels of satisfaction. A recent staff survey showed a 85% staff satisfaction across most domains, with five to ten percent increase in skills, knowledge and training provided and whether staff would recommend the service as a place to work or receive care from.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policies used are a generic system moderated by an external quality consultant and these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A current risk management plan is monitored by the CEO and the Board. All senior management staff are conversant with the Health and Safety at Work Act (2015) and demonstrated knowledge of the requirements for identification, monitoring, review and reporting of risks and development of mitigation strategies.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well established and managed processes for the reporting, recording, investigation and review of all incidents and accidents. Review of onsite documents and interviews with staff and management confirmed these are reviewed and discussed at staff meetings and then trended and further evaluated quarterly by the CEO and other senior managers. Avoidable events are evaluated and actions are implemented to prevent recurrence.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and review of incident data on the day of audit confirmed that incidents are discussed at shift handover, and trending data is displayed in the staff room. Each resident’s care record contained a summary of incidents which facilitates a ready review of risks. </w:t>
            </w:r>
          </w:p>
          <w:p w:rsidR="00EB7645" w:rsidRPr="00BE00C7" w:rsidP="00BE00C7">
            <w:pPr>
              <w:pStyle w:val="OutcomeDescription"/>
              <w:spacing w:before="120" w:after="120"/>
              <w:rPr>
                <w:rFonts w:cs="Arial"/>
                <w:b w:val="0"/>
                <w:lang w:eastAsia="en-NZ"/>
              </w:rPr>
            </w:pPr>
            <w:r w:rsidRPr="00BE00C7">
              <w:rPr>
                <w:rFonts w:cs="Arial"/>
                <w:b w:val="0"/>
                <w:lang w:eastAsia="en-NZ"/>
              </w:rPr>
              <w:t>The CEO is responsible for essential notifications and reporting and understood the statutory and regulatory obligations. There is evidence that the DHB were notified about a gastrointestinal infection outbreak in September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The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The orientation programme has been reviewed and updated to ensure all new staff have one to one time with the education officers before starting work and then return for a mandatory orientation day which occurs monthly. New staff reported that the orientation process prepared them well for their role.  Staff records reviewed showed documentation of completed orientation followed by an initial performance review after 90 days.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All care staff are expected to commence age care sector training (as outlined in their pay equity settlement) three months after commencing employment, if they do not already have qualifications. The two Clinical Nurse Educators are authorised moderators of the education programme provided on site. Each of the staff files reviewed contained evidence of annual performance appraisals.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RNs are maintaining annual competency requirements to undertake interRAI assessments. Another is in the process of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the rosters and interviews with management and care staff showed that the number of staff allocated on each shift in the rest home and the secure units exceeds the required contractual staffing levels. Care staff working in the special care units have completed or are in progress to achieve the required NZQA qualifications (advanced level 4 and dementia unit standards).</w:t>
            </w:r>
          </w:p>
          <w:p w:rsidR="00EB7645" w:rsidRPr="00BE00C7" w:rsidP="00BE00C7">
            <w:pPr>
              <w:pStyle w:val="OutcomeDescription"/>
              <w:spacing w:before="120" w:after="120"/>
              <w:rPr>
                <w:rFonts w:cs="Arial"/>
                <w:b w:val="0"/>
                <w:lang w:eastAsia="en-NZ"/>
              </w:rPr>
            </w:pPr>
            <w:r w:rsidRPr="00BE00C7">
              <w:rPr>
                <w:rFonts w:cs="Arial"/>
                <w:b w:val="0"/>
                <w:lang w:eastAsia="en-NZ"/>
              </w:rPr>
              <w:t>There is a clinical nurse leader (CNL) overseeing the care being delivered to rest home residents and another CNL for residents in the two secure units Monday to Friday.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currently employs another six RNs plus one new to practice nurse, and four enrolled nurses to care for a maximum number of 84 residents. This allows for at least one RN to be on site for all morning and afternoon shifts and one on call after hours. There is always an RN or EN on duty at night and always at least one staff member with a current first aid certificate (level 1) on duty.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had 18 resignations of RNs, ten of whom had completed interRAI training in 2017-2018.</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staff interviewed said there were sufficient numbers of staff (for the needs of the residents) allocated across all shifts. Additional staff are rostered on when workloads increase for any reason. Reports showed agency staff are used an average 90 hours per month. </w:t>
            </w:r>
          </w:p>
          <w:p w:rsidR="00EB7645" w:rsidRPr="00BE00C7" w:rsidP="00BE00C7">
            <w:pPr>
              <w:pStyle w:val="OutcomeDescription"/>
              <w:spacing w:before="120" w:after="120"/>
              <w:rPr>
                <w:rFonts w:cs="Arial"/>
                <w:b w:val="0"/>
                <w:lang w:eastAsia="en-NZ"/>
              </w:rPr>
            </w:pPr>
            <w:r w:rsidRPr="00BE00C7">
              <w:rPr>
                <w:rFonts w:cs="Arial"/>
                <w:b w:val="0"/>
                <w:lang w:eastAsia="en-NZ"/>
              </w:rPr>
              <w:t>The service employs an appropriate number of dedicated auxiliary staff (for example, cooks, cleaners, management, administration and maintenance staff) for the size and scope of the service. Diversional therapy staff are allocated seven days a week in the secure units.</w:t>
            </w:r>
          </w:p>
          <w:p w:rsidR="00EB7645" w:rsidRPr="00BE00C7" w:rsidP="00BE00C7">
            <w:pPr>
              <w:pStyle w:val="OutcomeDescription"/>
              <w:spacing w:before="120" w:after="120"/>
              <w:rPr>
                <w:rFonts w:cs="Arial"/>
                <w:b w:val="0"/>
                <w:lang w:eastAsia="en-NZ"/>
              </w:rPr>
            </w:pPr>
            <w:r w:rsidRPr="00BE00C7">
              <w:rPr>
                <w:rFonts w:cs="Arial"/>
                <w:b w:val="0"/>
                <w:lang w:eastAsia="en-NZ"/>
              </w:rPr>
              <w:t>The RNs and the GM Care Services interviewed, said that call outs from people living in the village does not negatively impact on staff resources in the home. It is the responsibility of the RN rostered to the rest home to attend, but this is seldom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expressed satisfaction with the availability of staff and the services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as required.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recorded on the commencement and discontinuation of medicines and all requirements for pro re nata (PRN) medicines met. The required three-monthly GP reviews were consistently recorded on the medicine chart.  Standing orders are not used.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self-administering medications at the time of audit.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hospitality manager, head chef (one of three chefs) and kitchen team and was in line with recognised nutritional guidelines for older people.  The menu follows a summer and winter six-week rotated menu pattern.  Fifteen residents were being supported by a separate puree menu.   Both menus have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 food safety plan and registration has been issued by the Waikato District Council and expires May 2019. Food temperatures, including for high risk items, are monitored appropriately and recorded as part of the plan. The hospitality manager and three chefs have undertaken a safe food handling qualification including specific training related to supporting residents requiring a pureed menu.  Kitchen assistants have also completed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Residents in the secure unit have access to food and fluids to meet their nutritional needs at all times.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by resident and family interviews, satisfaction surveys and residents’ meeting minutes. Residents were seen to be given sufficient time to eat their meal in an unhurried fashion and those requiring assistance had this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Click here to enter text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to residents met their needs, goals and the plan of care.  The attention to meeting a diverse range of resident’s individualised needs was evident in all areas of service provision.  The facility is supported by a GP and nurse practitioner.  The GP interviewed that supports residents at the facility verified that medical input is sought in a timely manner, that medical orders were followed, and that staff provided care that is ‘considered’ when caring for the resident.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one trained diversional therapist holding the national Certificate in Diversional Therapy, three activity co-ordinators and one rehabilitation assistant.  The activities team supports residents in the rest-home from Monday to Friday from 9.00 am to 3.30 pm and in the two dementia units Monday to Sunday from 9.30 am to 7.30 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daily and care plans are reviewed and edited as changes for the resident occur.  Activities reflected residents’ goals, ordinary patterns of life and included normal community activities. Individual, group activities and regular events are offered. Residents and families/whānau are involved in evaluating and improving the programme through day to day discussions, residents’ meetings and satisfaction surveys. Residents interviewed confirmed they find the programme varied and meaningful and allows learning of new skills.  Family members interviewed confirmed involvement in the planning of the activities programme. </w:t>
            </w:r>
          </w:p>
          <w:p w:rsidR="00EB7645" w:rsidRPr="00BE00C7" w:rsidP="00BE00C7">
            <w:pPr>
              <w:pStyle w:val="OutcomeDescription"/>
              <w:spacing w:before="120" w:after="120"/>
              <w:rPr>
                <w:rFonts w:cs="Arial"/>
                <w:b w:val="0"/>
                <w:lang w:eastAsia="en-NZ"/>
              </w:rPr>
            </w:pPr>
            <w:r w:rsidRPr="00BE00C7">
              <w:rPr>
                <w:rFonts w:cs="Arial"/>
                <w:b w:val="0"/>
                <w:lang w:eastAsia="en-NZ"/>
              </w:rPr>
              <w:t>Activities for residents from the two secure dementia units are specific to the needs and abilities of the people living there.  Activities are offered at times when residents are physically active and/or restless, for example one to one support and distraction techniques.  Both dementia units have access to a secure outside garden and pathways.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Six-monthly interRAI reassessments occur and long-term electronic care plans are reviewed and evaluated as residents’ needs change.   Where progress is different from expected, the service responds by initiating changes and the care plans are edited and updated. Examples of short-term care plans being consistently reviewed, and progress evaluated as clinically indicated were noted for infections, wounds and residents returning from an acute hospital setting.  When necessary, and for unresolved problems, long term care plans are added to and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current building warrant of fitness expires 23 August 2019. There have been no changes to the structure of the buildings. All buildings, plant and equipment inspected on audit day were in good condition and showed evidence of being well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urinary tract infection, respiratory tract infection, skin, wound, eye, gastroenteritis and other infections.  The IPC coordinator/general manager reviews all reported infections, and these are documented.  New infections and any required management plan are discussed at handover, to ensure early intervention occurs and short-term care plans are developed. Monthly surveillance data is collated and analysed to identify any trends, possible causative factors and required actions. Results of the surveillance programme are shared with staff via regular staff meetings and at staff handovers.  Trends are identified from the past year and this is reported by the general manager and reported to all staff.  In April of 2018, 50 residents consented to the flu vaccine with 13 residents declining.</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had a total of 92 infections from April 2018 through to and including September 2018.  Residents’ files reviewed highlighted short term and long-term care planning to reduce and minimise the risk of infections.   Care staff interviewed demonstrated knowledge of residents who have a higher risk of infections and the interventions required.  Data is benchmarked with ‘QPS’ three monthly. Benchmarking has provided assurance that infection rates in the facility are below average for the sector.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summary report for a recent gastrointestinal infection outbreak which occurred in July 2018 was reviewed with 29 residents affected. The summary demonstrated a thorough process for investigation and follow up.  Learnings from the event have been incorporated into practice, with additional staff education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maintaining its philosophy and practice of no restraint which is appropriate for the consumer group and service setting. There are systems and processes for implementation of restraint if required but this has never occurred. Interview with the GM care manager and review of incident accident reports and staff meeting minutes revealed that when a resident's condition deteriorates and their safety is compromised, they are reassessed for transfer. Eight residents were recorded on the register as using bed levers as voluntary enablers on the day of audit. A sample of residents’ files and three residents interviewed confirmed these were in use voluntarily. Interviews with the staff educators, RNs, caregivers and review of individual training records confirmed that education on restraint minimisation and safe practice occurs at orientation and at least every year after that.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Tamahere Eventide Home Trust - Tamahere Eventide Home &amp; Village</w:t>
    </w:r>
    <w:bookmarkEnd w:id="58"/>
    <w:r>
      <w:rPr>
        <w:rFonts w:cs="Arial"/>
        <w:sz w:val="16"/>
        <w:szCs w:val="20"/>
      </w:rPr>
      <w:tab/>
      <w:t xml:space="preserve">Date of Audit: </w:t>
    </w:r>
    <w:bookmarkStart w:id="59" w:name="AuditStartDate1"/>
    <w:r>
      <w:rPr>
        <w:rFonts w:cs="Arial"/>
        <w:sz w:val="16"/>
        <w:szCs w:val="20"/>
      </w:rPr>
      <w:t>23 October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