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Milton Adams Limited - Cromwell House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Milton Adams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Cromwell House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October 2018</w:t>
      </w:r>
      <w:bookmarkEnd w:id="7"/>
      <w:r w:rsidRPr="009418D4">
        <w:rPr>
          <w:rFonts w:cs="Arial"/>
        </w:rPr>
        <w:tab/>
        <w:t xml:space="preserve">End date: </w:t>
      </w:r>
      <w:bookmarkStart w:id="8" w:name="AuditEndDate"/>
      <w:r w:rsidR="00A4268A">
        <w:rPr>
          <w:rFonts w:cs="Arial"/>
        </w:rPr>
        <w:t>23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Cromwell House Hospital provides rest home, hospital and secure dementia level care for up to 50 residents. The service is privately operated and managed by a facility manager and clinical leaders. </w:t>
      </w:r>
    </w:p>
    <w:p w:rsidRPr="00A4268A">
      <w:pPr>
        <w:spacing w:before="240" w:line="276" w:lineRule="auto"/>
        <w:rPr>
          <w:rFonts w:eastAsia="Calibri"/>
        </w:rPr>
      </w:pPr>
      <w:r w:rsidRPr="00A4268A">
        <w:rPr>
          <w:rFonts w:eastAsia="Calibri"/>
        </w:rPr>
        <w:t xml:space="preserve">This surveillance audit was conducted against selected Health and Disability Services Standards and the service’s contract with the district health board. The audit process included review of policies and procedures, review of residents’ and staff files, observations and interviews with residents, families, management, staff and a general practitioner. </w:t>
      </w:r>
    </w:p>
    <w:p w:rsidRPr="00A4268A">
      <w:pPr>
        <w:spacing w:before="240" w:line="276" w:lineRule="auto"/>
        <w:rPr>
          <w:rFonts w:eastAsia="Calibri"/>
        </w:rPr>
      </w:pPr>
      <w:r w:rsidRPr="00A4268A">
        <w:rPr>
          <w:rFonts w:eastAsia="Calibri"/>
        </w:rPr>
        <w:t xml:space="preserve">Since the last audit the facility has reconfigured its services to accommodate two more rest home residents by reducing hospital beds by two. This has been accomplished within current resources with no change to capacity. </w:t>
      </w:r>
    </w:p>
    <w:p w:rsidRPr="00A4268A">
      <w:pPr>
        <w:spacing w:before="240" w:line="276" w:lineRule="auto"/>
        <w:rPr>
          <w:rFonts w:eastAsia="Calibri"/>
        </w:rPr>
      </w:pPr>
      <w:r w:rsidRPr="00A4268A">
        <w:rPr>
          <w:rFonts w:eastAsia="Calibri"/>
        </w:rPr>
        <w:t xml:space="preserve">The improvement required following the last audit in relation to the timeliness of InterRai assessments has not yet been fully addressed. </w:t>
      </w:r>
    </w:p>
    <w:p w:rsidRPr="00A4268A">
      <w:pPr>
        <w:spacing w:before="240" w:line="276" w:lineRule="auto"/>
        <w:rPr>
          <w:rFonts w:eastAsia="Calibri"/>
        </w:rPr>
      </w:pPr>
      <w:r w:rsidRPr="00A4268A">
        <w:rPr>
          <w:rFonts w:eastAsia="Calibri"/>
        </w:rPr>
        <w:t xml:space="preserve">Five areas for improvement were identified at this audit relating to complaints records, adverse events, staff training, care plan assessments and the environment.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There is 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A complaints register is maintained. Formal complaints had been resolved promptly and effectively.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is regular and effective. An experienced and suitably qualified person manages the service. The facility manager is supported by clinical leaders who are registered nurses.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recorded. Appropriate corrective actions are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Staffing numbers and skill mix are adequate to meet the changing needs of residents in the rest home, hospital and dementia unit.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clinical team is responsible for the development, evaluation of care plans and assessments. Short term care plans are developed for any acute needs as required.</w:t>
      </w:r>
    </w:p>
    <w:p w:rsidRPr="00A4268A" w:rsidP="00621629">
      <w:pPr>
        <w:spacing w:before="240" w:line="276" w:lineRule="auto"/>
        <w:rPr>
          <w:rFonts w:eastAsia="Calibri"/>
        </w:rPr>
      </w:pPr>
      <w:r w:rsidRPr="00A4268A">
        <w:rPr>
          <w:rFonts w:eastAsia="Calibri"/>
        </w:rPr>
        <w:t>Planned activities are appropriate for the residents’ assessed needs and abilities. Residents and family/whanau interviewed expressed satisfaction with the activities provided by the diversional therapist (DT) and health care assistants.</w:t>
      </w:r>
    </w:p>
    <w:p w:rsidRPr="00A4268A" w:rsidP="00621629">
      <w:pPr>
        <w:spacing w:before="240" w:line="276" w:lineRule="auto"/>
        <w:rPr>
          <w:rFonts w:eastAsia="Calibri"/>
        </w:rPr>
      </w:pPr>
      <w:r w:rsidRPr="00A4268A">
        <w:rPr>
          <w:rFonts w:eastAsia="Calibri"/>
        </w:rPr>
        <w:t>The service uses pre-packaged medication system and is paper based. Medication is administered by staff with current medication competencies. Three monthly reviews are completed by the attending general practitioner (GP.).</w:t>
      </w:r>
    </w:p>
    <w:p w:rsidRPr="00A4268A" w:rsidP="00621629">
      <w:pPr>
        <w:spacing w:before="240" w:line="276" w:lineRule="auto"/>
        <w:rPr>
          <w:rFonts w:eastAsia="Calibri"/>
        </w:rPr>
      </w:pPr>
      <w:r w:rsidRPr="00A4268A">
        <w:rPr>
          <w:rFonts w:eastAsia="Calibri"/>
        </w:rPr>
        <w:t>Nutritious meals, snacks and fluids are provided in line with recognised nutritional guidelines. Residents who require special or modified meals are reliably catered for. Snacks and drinks are available 24 hours for residents if needed.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Cromwell House Hospital consists of two buildings, one for the hospital level of care and one that has the secure dementia unit and the rest home level of care residents. The building warrant of fitness is current. Trial emergency evacuations are held every six months.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detailed documented guidelines on the use of restraints, enablers and challenging behaviours. There were no residents using restraint or enablers at the time of the audit. Environmental restraint is in place. Staff interviewed demonstrated a good understanding of restraint and enabler use and receive ongoing education in the management of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is responsible for the surveillance programme, coordinating education, and training of staff. Surveillance for infection is carried out as specified in the infection control programme. The type of infection surveillance undertaken is appropriate to the size and type of the service. Results of the surveillance are acted upon, evaluated and reported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forms/flow charts meet the requirements of Right 10 of the Code. The policy defines the actions/responses to take related to major and minor complaints. Information on the complaint process is provided to residents and families on admission and those interviewed knew how to make a complaint if they wished 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complaints management and follow up. All staff interviewed confirmed understanding of the complaint process and what actions are required. The complaints register records complaints, dates and actions taken. When sampled it showed that no complaints had been recorded since the last audit in 2017. It was identified during the audit that informal concerns expressed by clients / family or external sources are addressed but not recorded in the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are kept informed about any changes to their/their relative’s status, are advised in a timely manner about any incidents or accidents and outcomes of regular and any urgent medical reviews. This was supported in residents’ records sampled. Staff understood the principles of open disclosure, which is supported by policies and procedures that meet the requirements of the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with staff able to provide interpretation as and when needed with the use of communication aids and family members. There are appropriate processes and communication strategies recorded in care plans for residents with non-verbal communication and cognitive impairment.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Cromwell House Hospital provides rest home, hospital and secure dementia level of care for up to 50 residents. There are two buildings, one that contains the hospital and one that has the secure dementia unit and the rest home wing. At the time of audit there were 22 hospital residents (including two residents under the age of 65), three rest home residents and 18 residents living in the dementia unit. In July 2018 the facility was reconfigured to decrease hospital beds by two and increase rest home beds by two with no changes to overall capacity, facility layout, staffing or other resources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a privately-owned business with three directors. The directors have the governance responsibilities. The facility manager provides informal and formal communications and feedback to at least one of the directors at least weekly. The business plan records the scope, vision, mission statement, philosophy of the organisation with the organisational objectives documented. The plan is reviewed annually, with the specific plans, aims and ambition for 2018 recorded. The ongoing review of the goals and objectives is monitored through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facility manager and two clinical leaders (registered nurses). The facility manager has responsibility for the overall operational management, with the support of the two clinical leaders responsible for the clinical aspects of service delivery. The facility manager has managed the service for over nine years. The facility manager is a member of an aged care association and attends over eight hours a year of professional development related to management of an aged care service. The facility manager receives weekly updates from the aged care association and has monthly updates related to employment and legislative changes from an employment association.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resident/family feedback, monitoring of outcomes, clinical incidents including infections and restraint minimisation. Meeting minutes sampled confirmed regular review and analysis of quality data and outcomes of any quality audits/activities. Staff are involved in quality and risk management activities through internal audits and attendance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corrective actions are developed and implemented to address any shortfalls. Resident and family satisfaction surveys are completed annually. The most recent survey recorded overall high satisfaction with the care and service provided. Feedback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Policies sampled cover all necessary aspects of the service and contractual requirements. The policies are developed by an aged care consultant and personalised to reflect the nature of the service. Policies are current and are referenced to best practice and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policies are version controlled, with staff only having access to the most recent version.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and the risk register documents the processes for the identification, monitoring, review and reporting of risks and development of mitigation strategies.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 forms that have occurred since the last audit showed that the immediate response to the event was fully completed and the incidents were investigated. Corrective and preventive action is not consistently implemented or verified in accord with facility policy. Adverse event data is collated, analysed and reported to staff through the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aware of essential notification reporting requirements. One significant incident had occurred and been notified to appropriate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processes are based on good employment practice and relevant legislation. The recruitment process includes referee checks, police vetting and validation of qualifications and practising certificates (APCs), where required.  A sample of staff records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including dementia care. Staff reported that the orientation process prepared them well for their role. Staff records sampled have documentation of completed orientation and an initial education workbook that covers the aged care contractual requirements. In-service education is planned on a biannual basis, including mandatory training requirements. All staff who work in the dementia unit have either completed or are enrolled in the required dementia care education. The diversional therapist has completed education and qualifications related to dementia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trained and competent registered nurses who are maintaining their annual competency requirements to undertake interRAI assessment (refer to 1.3.3.3 for the implementation of interRAI).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policy requires performance reviews to be conducted annually. Four of the five staff files reviewed had not received the required performance review in the last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The staffing numbers are based on safe staffing guidelines and the acuity of the residents. When there is an increased level of dependencies or needs, staffing is increased to match these increased needs. When a resident is admitted to the service, particularly the dementia unit, an extra staff member is allocated to provide one to one support to the new resident. The rosters sampled evidenced staffing numbers more than the minimum contractual requirements. The staffing numbers and skill mix meet the needs of the current residents and the layout of the facility for the residents at rest home, hospital and dementia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reported there were adequate staff available to complete the work allocated to them. Residents and family interviewed supported this. Observations and sampling of rosters confirmed adequate nursing, care staff, diversional and housekeeping cover has been provided, with staff replaced in any unplanned absence. The kitchen and laundry services are provided by external service providers.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staff member on duty that has a current first aid certificate and there is 24 hour/seven days a week RN coverage in the hospital. Staff in the dementia unit have either completed or are enrolled in relevant training for dementia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documented medicines management system is implemented to ensure that residents receive medicines in a safe and timely manner. Medicine charts sampled complied with the required legislation, protocols and guidelines. The organisation uses pre-packed medicine packets which are checked by the RNs on delivery. All medicines are reviewed every three months and as required by the GP. Allergies are clearly indicated, and photos are available to assist with identification. Medicines are stored safely and securely in the treatment room, locked cupboards and drug trolley. Medicine reconciliation is conducted by the RNs when residents are admitted and when transferred back to the service. An annual medicine competency is completed for all staff administering medicines and training records were sighted. The Clinical leader (CL) and health care assistant were observed administering medicines correctly in the hospital and dementia wings respectively. The controlled drug register is current and correct. Weekly and six-monthly stock takes were conducted. There were no expired or unwanted medicines and expired medicines are returned to the pharmacy in a timely manner. There were no residents self-administering medications at the service and a self-administration medication policy is in place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 services are outsourced, and meals are prepared on site and served in the allocated dining rooms. The menu has been reviewed by the registered dietitian. Diets are modified as required and the cook confirmed awareness of dietary needs required by the residents. Meals are served warm in sizeable portions required by residents and any alternatives are offered as required. The residents’ weights are monitored monthly and supplements are provided to residents with identified weight loss issues. Snacks and drinks are available for residents who wake up during the night on a 24-hour period. Fluids are encouraged and monitored. </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audited and registered under the food control plan. Kitchen staff completed training in food safety/hygiene. The kitchen and pantry were sighted and observed to be clean, tidy and stocked. Labels and dates are on all containers and records of food temperature monitoring, fridges and freezers temperatures are maintained. Regular cleaning is conducted. The family/whanau interviewed acknowledged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lifestyle and nursing plan care plans are sufficient to address the assessed needs and desired goals/outcomes. Significant changes are reported in a timely manner and prescribed orders carried out satisfactorily as confirmed by the GP in the interview conducted. Progress notes are completed on every shift. Monthly observations are completed and are up to date. Adequate clinical supplies were observed, and the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are meaningful to the residents’ needs and abilities. The activities are based on assessment and reflect the residents’ social, cultural, spiritual, physical, cognitive needs/abilities, past hobbies, interests and enjoyments. Daily activities attendance record and activity progress notes are completed. Residents’ files sampled reflect their preferred activities and are evaluated every six months or as when necessary. Files sampled had 24- hour activity plans in place to manage residents with behaviours of concern. The DT develop an activity planner for hospital, dementia, rest home and under 65 years residents. The DT has oversight of activities on the hospital wing conducted by healthcare assistants.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residents were observed to be participating in a variety of activities on the audit day. There are planned activities and community connections that are suitable for the residents. There are regular outings for all residents (as appropriate). Family/whanau and residents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lifestyle care plans, interRAI assessments and activity plans are evaluated at least six monthly and updated when there are any changes (refer to 1.3.3.3). Relatives, residents and staff input are sought in all aspects of care. The evaluations record how the resident is progressing towards meeting their goals and responses to interventions. Acute nursing care plans are developed when needed and signed and closed out when acute problems have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is displayed. </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two areas of environmental risk were observed in relation to storage of rubbish and garden tools, and storage of cleaning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evacuation scheme. There have been no alterations to the buildings since then. Trial evacuations have taken place six-monthly. The orientation programme includes fire and security training. Staff confirmed their awareness of the evacuation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Minutes of meetings and education records were sighted. An external consultancy firm has provided tools to enable monthly analysis of infections comparing with other health care providers. The GP is informed within the required time frame to prescribe antibiotics if any resident has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2"/>
        <w:gridCol w:w="1280"/>
        <w:gridCol w:w="6510"/>
        <w:gridCol w:w="1578"/>
        <w:gridCol w:w="22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system records complaints, dates and actions taken. When sampled it showed that no complaints had been recorded since the last audit in 2017. It was identified by the manager that informal concerns expressed by clients / family or external sources are addressed but not recorded in the register. Resident interviews identified a concern about presentation of meals; review of adverse events records revealed that a serious concern had been expressed by an external agency about aspects of the management of a patient incident. Neither were documented in the complaints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Informal concerns expressed by residents or external agencies are addressed but not recorded in or managed through the complaints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Define those concerns, both formal and informal, that are to be captured in the complaints system and ensure that all corrective and preventive actions taken are recorded for quality improvement purposes.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policy that defines appropriate actions to be taken following adverse events including resident falls. Records sampled indicated that actions following an event do not consistently comply with the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have an unwitnessed fall do not consistently have a neurological assessment and on-going observations as required by the facility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do not include preventive actions taken to prevent a repeat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any actions taken is not verified and confirmed by the signature of the clinical leader or the manager.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and preventive actions following adverse events are not consistently implemented or documented as required by documented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Consistently document, implement and verify preventive actions as require by the facility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Facility policy requires staff performance to be conducted annually. Three of four staff files reviewed had not received the required performance review in the last 12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that staff performance is consistently reviewed annually as required by facility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Maintain the annual performance reviews up to date.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identified that initial care plans and lifestyle and nursing care plans were completed within the required time frames. InterRAI assessments and lifestyle nursing care plans are reviewed every six months or when there is any change in the condition of a resident however some of the files sampled had did not have current interRAI assessments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Monthly reviews are conducted by the GP for residents assessed as hospital level of care and three-monthly reviews for residents assessed as rest home and dementia level of care or as when required. Short term care plans are developed for short term problems or in the event of any change, with appropriate interventions to guide treatment. Resolution dates are documented, and care plans closed out.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files sampled had current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are evaluated using current interRAI assessments.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guidelines for management and safe storage of cleaning chemicals. There is secure storage for cleaning trolleys when not in use. It was observed that bottles of cleaning fluid had been left on a trolley accessible to residents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External grounds are accessible via sealed level pathways with various areas through which residents may walk. During the audit it was observed that residents from the rest home have access to a yard where garden equipment and rubbish bins are stored.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not always protected from risk of harm in the environment: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potentially harmful items and areas are secluded from access by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Milton Adams Limited - Cromwell House Hospital</w:t>
    </w:r>
    <w:bookmarkEnd w:id="58"/>
    <w:r>
      <w:rPr>
        <w:rFonts w:cs="Arial"/>
        <w:sz w:val="16"/>
        <w:szCs w:val="20"/>
      </w:rPr>
      <w:tab/>
      <w:t xml:space="preserve">Date of Audit: </w:t>
    </w:r>
    <w:bookmarkStart w:id="59" w:name="AuditStartDate1"/>
    <w:r>
      <w:rPr>
        <w:rFonts w:cs="Arial"/>
        <w:sz w:val="16"/>
        <w:szCs w:val="20"/>
      </w:rPr>
      <w:t>23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