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Thornleigh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Thornleigh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2018</w:t>
      </w:r>
      <w:bookmarkEnd w:id="7"/>
      <w:r w:rsidRPr="009418D4">
        <w:rPr>
          <w:rFonts w:cs="Arial"/>
        </w:rPr>
        <w:tab/>
        <w:t xml:space="preserve">End date: </w:t>
      </w:r>
      <w:bookmarkStart w:id="8" w:name="AuditEndDate"/>
      <w:r w:rsidR="00A4268A">
        <w:rPr>
          <w:rFonts w:cs="Arial"/>
        </w:rPr>
        <w:t>19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Thornleigh Park is part of the Radius Residential Care Group.  The service provides hospital (medical and geriatric) and rest home level care for up to 63 residents.  At the time of the audit there were 52 residents in total.</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service is managed by a facility manager who has been in the role for three years and has over 20 years of management experience.  The facility manager is supported by an experienced clinical nurse manager who has been in the position for one year.  Residents and family members interviewed spoke positively of the services provided at Thornleigh Park.</w:t>
      </w:r>
    </w:p>
    <w:p w:rsidRPr="00A4268A">
      <w:pPr>
        <w:spacing w:before="240" w:line="276" w:lineRule="auto"/>
        <w:rPr>
          <w:rFonts w:eastAsia="Calibri"/>
        </w:rPr>
      </w:pPr>
      <w:r w:rsidRPr="00A4268A">
        <w:rPr>
          <w:rFonts w:eastAsia="Calibri"/>
        </w:rPr>
        <w:t>This certification audit identified two areas for improvement; one related to wound care and enabler documentation and one high risk finding related to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Medication policies reflect legislative requirements and guidelines.  Registered nurses and senior caregivers are responsible for the administration of medicines.  Medication charts are reviewed three monthly by the GP.  There is an activity programme to meet the individual needs, preferences and abilities of the residents.  Residents are encouraged to maintain community links.  There are regular entertainers, outings, and celebrations.  All meals are cooked on-site.  Residents' food preferences, dislikes and dietary requirements are identified at admission and accommodated.  Residents commented positively on the meals.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there are sufficient communal toilets.  There is space to allow the movement of residents around the facility using mobility aids.  There are a number of small lounge and dining areas throughout the facility in addition to its main communal areas.  The outdoor areas are safe and easily accessible and there is seating and shade available.  Cleaning and laundry staff are providing appropriate services.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no residents using restraints and four residents using enablers.  Staff receive regular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(clinical manager) is responsible for coordinating/providing education and training for staff.  The infection control manual outlines a comprehensive range of policies, standards and guidelines, training and education of staff and scope of the programme.  The infection control nurse uses the information obtained through surveillance to determine infection control activities, resources and education needs within the facility.  The service engages in benchmarking with other Radius facilities.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1"/>
        <w:gridCol w:w="1280"/>
        <w:gridCol w:w="93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seven care staff, including six healthcare assistants (HCA) and one activities coordinator confirmed their familiarity with the Health and Disability Commissioner (HDC) Code of Health and Disability Services Consumers’ Rights (the Code).  Six residents (four rest home and two hospital) and three relatives (two rest home and one hospital) were interviewed and confirmed the services being provided are in line with the Code.  Observation during the audit confirmed this in practice.  Staff receive training on the Code, last occurring in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was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Eight of eight resident files sampled (five from the rest home and three from the hospital)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complaint’s register that includes relevant information regarding the complaint.  The number of complaints received each month is reported monthly to staff via the various meetings.  There have been six complaints made in 2018 year to date.  The complaints reviewed included follow-up meetings and letters and resolutions.  Documentation sighted aligned with the required timeframes as determined by the Health and Disability Commissioner.  One of the complaints received in April 2018 was reopened and made through the district health board (DHB) in August 2018, the complaint was investigated, followed up and closed off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resident/relative meetings provide the opportunity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The 2018 satisfaction survey identified 85% of residents were happy with privacy.  Contact details of spiritual/religious advisors are available.  Staff education and training on abuse and neglect has been provided, last occurring in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Thornleigh Park has a Māori health plan that includes a description of how they achieve the requirements set out in the contract.  There are supporting policies that provide recognition of Māori values and beliefs and identify culturally safe practices for Māori.  At the time of audit, there was one resident who identified as Māori.  The resident file was reviewed and included a Māori health plan.  Family/whānau involvement is encouraged in assessment and care planning and visiting is encouraged.  Māori consultation is available through the local Iwi and a local Māori Chaplin who visits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2018 satisfaction survey identified 100% outcome for cultural/spiritual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occur monthly and include discussions on professional boundaries and concerns as they arise.  Management provide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residents’ meetings have been conducted monthly.  Residents and relatives interviewed spoke positively about the care and support provided.  Staff had a sound understanding of principles of aged care and stated that they feel supported by the facility manager, clinical nurse manager and nursing staff.  There are implemented competencies for HCAs and RN.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were welcomed on entry and were given time and explanation about services and procedures.  Family members also stated they are informed of changes in the health status of residents and fifteen incidents/accidents sampled confirmed this.  Resident/relative meetings are held bi-monthly.  The facility manager and clinical nurse manager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Thornleigh Park is part of the Radius Residential Care Group.  The service cares for up to 63 residents requiring hospital (geriatric and medical services) and rest home level care.  There are six dual-purpose beds.  On the day of the audit, there were 52 residents in total, 34 residents receiving rest home level care, including one resident on a ‘younger persons with disability’ (YPD) contract, one long-term support chronic health condition (LTS-CHC) contract and one on an ACC funded contract.  There were 18 residents receiving hospital level care, including two YPD residents.  </w:t>
            </w:r>
          </w:p>
          <w:p w:rsidR="00EB7645" w:rsidRPr="00BE00C7" w:rsidP="00BE00C7">
            <w:pPr>
              <w:pStyle w:val="OutcomeDescription"/>
              <w:spacing w:before="120" w:after="120"/>
              <w:rPr>
                <w:rFonts w:cs="Arial"/>
                <w:b w:val="0"/>
                <w:lang w:eastAsia="en-NZ"/>
              </w:rPr>
            </w:pPr>
            <w:r w:rsidRPr="00BE00C7">
              <w:rPr>
                <w:rFonts w:cs="Arial"/>
                <w:b w:val="0"/>
                <w:lang w:eastAsia="en-NZ"/>
              </w:rPr>
              <w:t>Thornleigh Park continues to work towards its documented 2018/2019 business plan that is linked to the Radius Residential Care group strategies and business plan targets.  The mission statement is included in information given to new residents.  An organisational chart is in place.  Annual goals have been identified and strategies are documented to meet their three goals around staffing, orientation processes and increasing occupancy.</w:t>
            </w:r>
          </w:p>
          <w:p w:rsidR="00EB7645" w:rsidRPr="00BE00C7" w:rsidP="00BE00C7">
            <w:pPr>
              <w:pStyle w:val="OutcomeDescription"/>
              <w:spacing w:before="120" w:after="120"/>
              <w:rPr>
                <w:rFonts w:cs="Arial"/>
                <w:b w:val="0"/>
                <w:lang w:eastAsia="en-NZ"/>
              </w:rPr>
            </w:pPr>
            <w:r w:rsidRPr="00BE00C7">
              <w:rPr>
                <w:rFonts w:cs="Arial"/>
                <w:b w:val="0"/>
                <w:lang w:eastAsia="en-NZ"/>
              </w:rPr>
              <w:t>Quarterly reviews are undertaken to report on achievements towards meeting business goals and action plans from previous external audits.  The facility manager reports monthly to the regional manager on a range of operational matters in relation to Thornleigh Park, including strategic and operational issues, incidents and accidents, complaints,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who is experienced in aged care and has been in the role for three years and has over 20 years of management experience.  An experienced clinical nurse manager who has been in the position for one year supports her.  A regional manager supports the facility manager in the management role and was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Thornleigh Park.  The facility manager advised that she is responsible for providing oversight of the quality programme.  Thornleigh Park is implementing the Radius quality and risk programme.  Monthly staff and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Other meetings include; monthly RN and infection control meetings, quarterly health and safety meetings, monthly resident meetings and weekly head of department meetings.  Meeting minutes are comprehensive and are reflective of the quality process and plan.  Issues are identified, and plans are carried through from meeting to meeting until resolution.  Resident/relative meetings are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  Restraint and enabler use is reviewed at the monthly staff/quality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are completed with results communicated to residents and staff.  The overall service result for the resident/relative satisfaction survey completed in February 2018 was at 96%.  A corrective action plan was developed and completed in April 2018 around food service and activities.  Health and safety policies are implemented and monitored by the health and safety committee.  The health and safety representative (maintenance person) interviewed confirmed his understanding of health and safety processes.  He has completed external health and safety stage three training.  Risk management, hazard control and emergency policies and procedures are in place.  Hazard identification forms and an up-to-date hazard register (last reviewed 12 September 2018) are in place.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including actions to minimise recurrence.  A review of fifteen incident/accident forms from August 2018 identified that forms are fully completed and include follow-up by a RN.  Neurological observations were completed for twelve reviewed unwitnessed falls or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regional manager confirmed that there is an awareness of the requirement to notify relevant authorities in relation to essential notifications.  There have been two section 31 notifications made since the last audit.  One was for an unstageable pressure injury in August 2018 and one was for a town water supply cut off in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clinical nurse manager, two RNs, two HCAs, one activities coordinator and one maintenance person) include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There is an implemented annual education and training plan that exceeds eight hours annually.  There is an attendance register for each training session and an individual staff member record of training.  One of seven RNs (the clinical nurse manager) has completed their interRAI training.  Advised interRAI trained RNs is low due to RNs leaving the service to work at the DHB.  The service is in the process of booking more RNs into the interRAI training.  Registered nurses are supported to maintain their professional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to determine staffing levels and skill mixes for safe service delivery.  A roster provides sufficient and appropriate coverage for the effective delivery of care and support.  There is a full-time facility manager and clinical nurse manager who work from Monday to Friday and are available on call 24/7.  There is a minimum of one RN on-site at any time.  At the time of the audit there were 52 residents in total, 34 rest home residents and 18 hospital residents.  There is one RN on duty in the morning shift, afternoon shift and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supported by six HCAs on the morning shift (all long shift) and five HCAs on the afternoon shift (four long and one short shift) and two HCAs on the night shift.  Additional staff are often rostered for higher acuity residents and/or days when the workload is higher, and this was seen on the roster.  Residents and relatives stated there were adequate staff on duty at all times.  Staff stated they feel supported by the clinical nurse manager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facility manager and the clinical nurse manager screen all potential residents prior to entry and record all admission enquires.  The admission agreement form in use aligns with the requirements of the ARRC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Thornleigh uses a paper-based medication system.  The medication management policies and procedures comply with medication legislation and guidelines.  Medicines are appropriately stored in accordance with relevant guidelines and legislation.  Registered nurses administer medicines.  All staff that administer medication are competent and have received medication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four-weekly blister pack medication management system for the packaging of all tablets.  The RN on duty reconciles the delivery and documents this and any discrepancies are fed back to the pharmacy.  All residents have individual medication orders with photo identification and allergy status identified.  There were no residents self-administering medicines.  Medicines administered are signed on the 24-hour pharmacy generated signing sheets.  It was noted that all six RN’s (new CAP RN’s) currently employed are very new to the facility and range in experience from 2 days to six months.   </w:t>
            </w:r>
          </w:p>
          <w:p w:rsidR="00EB7645" w:rsidRPr="00BE00C7" w:rsidP="00BE00C7">
            <w:pPr>
              <w:pStyle w:val="OutcomeDescription"/>
              <w:spacing w:before="120" w:after="120"/>
              <w:rPr>
                <w:rFonts w:cs="Arial"/>
                <w:b w:val="0"/>
                <w:lang w:eastAsia="en-NZ"/>
              </w:rPr>
            </w:pPr>
            <w:r w:rsidRPr="00BE00C7">
              <w:rPr>
                <w:rFonts w:cs="Arial"/>
                <w:b w:val="0"/>
                <w:lang w:eastAsia="en-NZ"/>
              </w:rPr>
              <w:t>Shortfalls were identified around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on-site.  There is a food services manual in place to guide staff.  A food control plan is registered and due for renewal in November 2018.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Residents interviewed spoke positively of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service records the reason for declining service entry to potential residents should this occur and communicates this to potential residents/family/whānau.  The potential resident would be referred back to the referring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were completed and were reviewed at least six monthly or when there was a change to a resident’s health condition in files sampled.  The service has transitioned from a paper-based resident file system to electronic resident records.  Previous paper-based records including interRAI are scanned into the electronic records.  A number of risk assessment tools are completed as part of the electronic records.  The outcomes of the assessment tools and interRAI are linked to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care plans for long-term residents describe the individual support and interventions required to meet the resident goals.  Initial risk plans are developed on admission (as applicable) to alert staff to any resident risks such as pressure injury of falls.  The long-term care plans reflect the outcomes of risk assessment tools and the interRAI assessment, however not all care plans include all required interventions (link 1.3.6.1).  Care plans demonstrate service integration and include input from allied health practitioners.  Short-term care plans were in use for changes in health status.  These are evaluated regularly and either resolved or if an ongoing problem, added to the long-term care plan.  Residents/relatives interviewed confirmed they participate in the care planning process.  Family members interviewed confirmed care delivery and support by staff is consistent with their expectations.  There was evidence of service integration with documented input from a range of specialist care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the clinical nurse manager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eight residents with seven wounds and three pressure injuries.  Wound documentation reviewed included assessments, monitoring and management plans.  Wound documentation reviewed did not reflect that all wounds had been reviewed in the timeframe stated.  The RNs have access to specialist nursing wound care management advice through the DHB.  Care plan interventions including nutritional intake, regular checks and repositioning charts demonstrate interventions to meet residents’ needs.  All two hourly turning charts reviewed consistently documented two hourly turns.  The files for the four residents using enablers were reviewed.  Three of the four resident care plans did not include interventions or risks associated with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provide an activities programme Monday to Friday each week.  On admission, activities staff get to know the resident and contribute to the care planning by gathering information on the resident’s life history and activities profile.  This information is entered into the electronic resident management system and is reviewed six monthly.  Activities staff maintain a record of attendance and document levels of participation in the electronic progress notes.  The programme is planned monthly and residents receive a personal copy of planned activities.  Weekly activities are displayed on noticeboards around the facility.  Group activities include garden walks, exercises, puzzles, arts and crafts, reading and entertainment.  One-on-one activities such as individual walks, reading and chats and hand massage occur for residents who choose not to be involved in group activities.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Thornleigh promotes community involvement and has established relationships with a local kindergarten, church groups, local Alzheimer’s group, and the SPCA.  The service has established a ‘random acts of kindness’ programme which involves residents contributing to a variety of community acts including baking contributions and gifting at Christmas and Easter.  This initiative has had a positive impact on the residents’ well-being and interest in the local community.  Outings occur weekly and include community dinners, picnics and library trips.  On interview, the team advised the programme may vary according to resident requests or weather conditions.  Specific activities for younger residents are provided based on their individual preferences.  There are monthly resident meetings, where residents have the opportunity to provide feedback on all aspects of the facility.  Family communication events are held.  Residents interviewed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registered nurses within three weeks of admission.  The long-term care plans reviewed were evaluated at least six monthly or earlier if there was a change in health status.  There is at least a three-monthly review by the GP.  All changes in health status were documented and followed up.  Short-term care plans sighted were evaluated and resolved or added to the long-term care plan if the problem was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single storey building accommodates five wings with a number of alcoves and lounge areas in each unit.  The building has a current warrant of fitness that expires 5 May 2019.  A full-time maintenance person is responsible for the reactive and planned maintenance programme.  All requests are recorded in a register held at the main reception (sighted), which has been signed off as requests have been addressed.  There is a 12-monthly planned maintenance schedule in place that includes the calibration of medical equipment, electrical testing (bi-annually) of electric beds and hoists and electrical testing.  There are essential contractors available 24/7.  The maintenance person is available on-call for urgent facility matters.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monitored monthly and stable below 45 degrees Celsius.  The facility has wide corridors with sufficient space for residents to mobilise using mobility aids.  There is adequate storage and space, including a mobility scooter parking/charging bay.  The external area is well maintained.  Residents have access to safely designed external areas that have seating and shade.  Staff interviewed stated they have sufficient equipment to safely deliver the cares as outlined in the resident care plans including; sensor mats, standing and lifting hoists, hospital lounge chairs, mobility aids, transferring equipment and pressure relieving mattresses and cushion.</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upgraded the look of the facility internally.  They have purchased new electric beds, bedroom furniture, lounge chair and fall out chairs.   They have refurbished the kitchen to be more user friendly and replaced benches and refurbished Harrison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toilets and one has a full ensuite.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in the dual-purpose and hospital level rooms.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several smaller lounges and separate dining areas in each of the wings.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Residents interviewed stated they are happy with the cleanliness of their bedrooms and communal areas.  Other feedback is received through resident meetings, annual surveys (resident and relative) and the results of internal audits.  All laundry is done in the on-site commercial laundry by dedicated laundry staff.  The laundry is secured with a keypad lock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The emergency plan was put into practice when the town water supply was cut off in February 2018.  A corrective action plan was developed and implemented for any improvements required from the water supply cut off.  Emergencies, first aid and CPR are included in the mandatory in-service programme.  There is a first aid trained staff member on every shift.  There are first aid kits available in the van, kitchen and nurses station.  Thornleigh Park has an approved fire evacuation plan in place.  Fire evacuation drills occur six monthly with the last evacuation drill occurring on 28 August 2018.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cooking facilities (BBQ and gas hobs in the kitchen).  The service has a backup system for emergency lighting and battery backup for up to four hours.  Emergency food supplies sufficient for three days are kept in the kitchen.  Extra blankets are available.  There are civil defence kits in the facility that are checked four monthly.  There is sufficient water (ceiling water tanks and bottled water) stored.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have external windows that open allowing plenty of natural sunlight.  Residents and relatives confirmed satisfaction with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Thornleigh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registered nurses and the quality management committee (infection control team).  Minutes are available for staff.  Audits have been conducted and include hand hygiene and infection control practices.  Education is provided for all new staff on orientation.  The infection control programme is reviewed annually by Radius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Thornleigh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Radius and the policies have been developed at head office.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coordinating/providing education and training to all staff.  The infection control nurse has completed infection control training.  The orientation/induction package includes specific training around hand hygiene, standard precautions and outbreak management training is provided both at orientation and as part of the annual training schedule.  Infection control is an agenda item on the full facility and clinical meeting agenda.  Resident education occurs as part of providing daily cares.  Care plans include ways to assist staff in ensuring this occurs.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appropriate to the complexity of service provided.  Individual infection report forms are completed for all infections and are kept as part of the on-line resident files.  Infections are included on an electronic register and the infection control coordinator completes a monthly report.  Monthly data is reported to the quality and staff meetings.  Staff are informed of infection control through the variety of facility meetings.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use of restraint is actively minimised.  At the time of the audit there were no residents using restraints and four residents using enablers (three D bars and one Monkey bar).  Three of four resident care plans reviewed did not include interventions or risks associated with enablers (link 1.3.6.1).  Staff training has been provided around restraint minimisation in April 2018 and managing challenging behaviours in August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6"/>
        <w:gridCol w:w="1280"/>
        <w:gridCol w:w="4825"/>
        <w:gridCol w:w="3000"/>
        <w:gridCol w:w="20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responsible for the safe administration of medication with healthcare assistants competent to act as second checkers when required.  One medication round observed followed correct practice, however a review of medication charts evidences that prescribing practices and signing for administration of medications are areas for improvement.  The facility owned syringe driver is checked annually, however this had not occurred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sixteen administration signing sheets evidenced unexplained gaps.</w:t>
            </w:r>
          </w:p>
          <w:p w:rsidR="00EB7645" w:rsidRPr="00BE00C7" w:rsidP="00BE00C7">
            <w:pPr>
              <w:pStyle w:val="OutcomeDescription"/>
              <w:spacing w:before="120" w:after="120"/>
              <w:rPr>
                <w:rFonts w:cs="Arial"/>
                <w:b w:val="0"/>
                <w:lang w:eastAsia="en-NZ"/>
              </w:rPr>
            </w:pPr>
            <w:r w:rsidRPr="00BE00C7">
              <w:rPr>
                <w:rFonts w:cs="Arial"/>
                <w:b w:val="0"/>
                <w:lang w:eastAsia="en-NZ"/>
              </w:rPr>
              <w:t>(ii)  Six of sixteen ‘as required’ medications administered, did not document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(iii) The controlled drug register did not record times of administration for two residents.</w:t>
            </w:r>
          </w:p>
          <w:p w:rsidR="00EB7645" w:rsidRPr="00BE00C7" w:rsidP="00BE00C7">
            <w:pPr>
              <w:pStyle w:val="OutcomeDescription"/>
              <w:spacing w:before="120" w:after="120"/>
              <w:rPr>
                <w:rFonts w:cs="Arial"/>
                <w:b w:val="0"/>
                <w:lang w:eastAsia="en-NZ"/>
              </w:rPr>
            </w:pPr>
            <w:r w:rsidRPr="00BE00C7">
              <w:rPr>
                <w:rFonts w:cs="Arial"/>
                <w:b w:val="0"/>
                <w:lang w:eastAsia="en-NZ"/>
              </w:rPr>
              <w:t>(iv) The controlled drug register did not record the balances columns correctly for two residents.</w:t>
            </w:r>
          </w:p>
          <w:p w:rsidR="00EB7645" w:rsidRPr="00BE00C7" w:rsidP="00BE00C7">
            <w:pPr>
              <w:pStyle w:val="OutcomeDescription"/>
              <w:spacing w:before="120" w:after="120"/>
              <w:rPr>
                <w:rFonts w:cs="Arial"/>
                <w:b w:val="0"/>
                <w:lang w:eastAsia="en-NZ"/>
              </w:rPr>
            </w:pPr>
            <w:r w:rsidRPr="00BE00C7">
              <w:rPr>
                <w:rFonts w:cs="Arial"/>
                <w:b w:val="0"/>
                <w:lang w:eastAsia="en-NZ"/>
              </w:rPr>
              <w:t>(v)  The controlled drug signing sheets did not evidence two signatures for two files reviewed.</w:t>
            </w:r>
          </w:p>
          <w:p w:rsidR="00EB7645" w:rsidRPr="00BE00C7" w:rsidP="00BE00C7">
            <w:pPr>
              <w:pStyle w:val="OutcomeDescription"/>
              <w:spacing w:before="120" w:after="120"/>
              <w:rPr>
                <w:rFonts w:cs="Arial"/>
                <w:b w:val="0"/>
                <w:lang w:eastAsia="en-NZ"/>
              </w:rPr>
            </w:pPr>
            <w:r w:rsidRPr="00BE00C7">
              <w:rPr>
                <w:rFonts w:cs="Arial"/>
                <w:b w:val="0"/>
                <w:lang w:eastAsia="en-NZ"/>
              </w:rPr>
              <w:t>(vi) Three of sixteen medication charts reviewed had short-term medications with no stop dates.</w:t>
            </w:r>
          </w:p>
          <w:p w:rsidR="00EB7645" w:rsidRPr="00BE00C7" w:rsidP="00BE00C7">
            <w:pPr>
              <w:pStyle w:val="OutcomeDescription"/>
              <w:spacing w:before="120" w:after="120"/>
              <w:rPr>
                <w:rFonts w:cs="Arial"/>
                <w:b w:val="0"/>
                <w:lang w:eastAsia="en-NZ"/>
              </w:rPr>
            </w:pPr>
            <w:r w:rsidRPr="00BE00C7">
              <w:rPr>
                <w:rFonts w:cs="Arial"/>
                <w:b w:val="0"/>
                <w:lang w:eastAsia="en-NZ"/>
              </w:rPr>
              <w:t>(vii) The calibration of the syringe driver due in April 2018 had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Ensure that medications administered are signed for as given and ‘as required’ medications include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(iii)- (iv) Ensure the controlled drug register is completed including time of administration and with balances correctly recorded.</w:t>
            </w:r>
          </w:p>
          <w:p w:rsidR="00EB7645" w:rsidRPr="00BE00C7" w:rsidP="00BE00C7">
            <w:pPr>
              <w:pStyle w:val="OutcomeDescription"/>
              <w:spacing w:before="120" w:after="120"/>
              <w:rPr>
                <w:rFonts w:cs="Arial"/>
                <w:b w:val="0"/>
                <w:lang w:eastAsia="en-NZ"/>
              </w:rPr>
            </w:pPr>
            <w:r w:rsidRPr="00BE00C7">
              <w:rPr>
                <w:rFonts w:cs="Arial"/>
                <w:b w:val="0"/>
                <w:lang w:eastAsia="en-NZ"/>
              </w:rPr>
              <w:t>(v)  Ensure two signatures are recorded on the administration signing sheet for all controlled drugs as per policy.</w:t>
            </w:r>
          </w:p>
          <w:p w:rsidR="00EB7645" w:rsidRPr="00BE00C7" w:rsidP="00BE00C7">
            <w:pPr>
              <w:pStyle w:val="OutcomeDescription"/>
              <w:spacing w:before="120" w:after="120"/>
              <w:rPr>
                <w:rFonts w:cs="Arial"/>
                <w:b w:val="0"/>
                <w:lang w:eastAsia="en-NZ"/>
              </w:rPr>
            </w:pPr>
            <w:r w:rsidRPr="00BE00C7">
              <w:rPr>
                <w:rFonts w:cs="Arial"/>
                <w:b w:val="0"/>
                <w:lang w:eastAsia="en-NZ"/>
              </w:rPr>
              <w:t>(vi)  Ensure that short-term medications have a stop date documented.</w:t>
            </w:r>
          </w:p>
          <w:p w:rsidR="00EB7645" w:rsidRPr="00BE00C7" w:rsidP="00BE00C7">
            <w:pPr>
              <w:pStyle w:val="OutcomeDescription"/>
              <w:spacing w:before="120" w:after="120"/>
              <w:rPr>
                <w:rFonts w:cs="Arial"/>
                <w:b w:val="0"/>
                <w:lang w:eastAsia="en-NZ"/>
              </w:rPr>
            </w:pPr>
            <w:r w:rsidRPr="00BE00C7">
              <w:rPr>
                <w:rFonts w:cs="Arial"/>
                <w:b w:val="0"/>
                <w:lang w:eastAsia="en-NZ"/>
              </w:rPr>
              <w:t>(vii) Ensure the syringe is calibrated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documentation available includes a wound assessment and management plan and a wound review chart, which documents the timeframe for the review of the wound and the current state of the wound.  Not all wounds had been reviewed within the stated timeframe.  The files for the four residents using enablers were reviewed, however three of the four resident care plans did not include interventions or risks associated with 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the eight current wounds (two chronic ulcers and one skin tear) have not been reviewed within the stated timeframe.  (ii) Four residents with enablers were reviewed.  Three of the four electronic care plans reviewed did not include interventions or risks associated with 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documentation reflects that wounds are reviewed as per the documented management plan.  (ii) Ensure that all resident care plans include interventions or risks associated with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Thornleigh Park</w:t>
    </w:r>
    <w:bookmarkEnd w:id="58"/>
    <w:r>
      <w:rPr>
        <w:rFonts w:cs="Arial"/>
        <w:sz w:val="16"/>
        <w:szCs w:val="20"/>
      </w:rPr>
      <w:tab/>
      <w:t xml:space="preserve">Date of Audit: </w:t>
    </w:r>
    <w:bookmarkStart w:id="59" w:name="AuditStartDate1"/>
    <w:r>
      <w:rPr>
        <w:rFonts w:cs="Arial"/>
        <w:sz w:val="16"/>
        <w:szCs w:val="20"/>
      </w:rPr>
      <w:t>18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