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Nurse Maude Association - Nurse Maude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Nurse Maude Association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Nurse Maude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October 2018</w:t>
      </w:r>
      <w:bookmarkEnd w:id="7"/>
      <w:r w:rsidRPr="009418D4">
        <w:rPr>
          <w:rFonts w:cs="Arial"/>
        </w:rPr>
        <w:tab/>
        <w:t xml:space="preserve">End date: </w:t>
      </w:r>
      <w:bookmarkStart w:id="8" w:name="AuditEndDate"/>
      <w:r w:rsidR="00A4268A">
        <w:rPr>
          <w:rFonts w:cs="Arial"/>
        </w:rPr>
        <w:t>3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 new 75 bed hospital building on the same site is very near completion, with a move in date scheduled before the end of the year. A partial provisional audit is scheduled for early November.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During the audit, the service applied to the Ministry of Health and received approval to add hospital (non-acute medical) to the scope of their certified services. This was included in the audit.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Nurse Maude Hospital provides hospital (geriatric) and rest home care for up to 35 residents. During the audit, the service applied to the Ministry of Health and received approval to add hospital (non-acute medical) to the scope of their certified services. This was included in the audit.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The audit process included review of policies and procedures, review of residents’ and staff files, observations and interviews with residents and family members, staff, a volunteer and a general practitioner.  </w:t>
      </w:r>
    </w:p>
    <w:p w:rsidRPr="00A4268A">
      <w:pPr>
        <w:spacing w:before="240" w:line="276" w:lineRule="auto"/>
        <w:rPr>
          <w:rFonts w:eastAsia="Calibri"/>
        </w:rPr>
      </w:pPr>
      <w:r w:rsidRPr="00A4268A">
        <w:rPr>
          <w:rFonts w:eastAsia="Calibri"/>
        </w:rPr>
        <w:t xml:space="preserve">There were no areas identified as requiring improvement. Residents and family members expressed a high level of satisfaction with the services provided. There is one area of continuous improvement related to good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Content of the Code, consent processes and the availability of advocacy services are discussed at the time of admission and thereafter as required.  </w:t>
      </w:r>
    </w:p>
    <w:p w:rsidRPr="00A4268A">
      <w:pPr>
        <w:spacing w:before="240" w:line="276" w:lineRule="auto"/>
        <w:rPr>
          <w:rFonts w:eastAsia="Calibri"/>
        </w:rPr>
      </w:pPr>
      <w:r w:rsidRPr="00A4268A">
        <w:rPr>
          <w:rFonts w:eastAsia="Calibri"/>
        </w:rPr>
        <w:t>Personal choices, privacy, independence, individual needs and dignity of residents are respected. Staff were noted to be interacting with residents in a respectful manner. Nurse Maude is committed to respecting the individual values and beliefs of the residents.</w:t>
      </w:r>
    </w:p>
    <w:p w:rsidRPr="00A4268A">
      <w:pPr>
        <w:spacing w:before="240" w:line="276" w:lineRule="auto"/>
        <w:rPr>
          <w:rFonts w:eastAsia="Calibri"/>
        </w:rPr>
      </w:pPr>
      <w:r w:rsidRPr="00A4268A">
        <w:rPr>
          <w:rFonts w:eastAsia="Calibri"/>
        </w:rPr>
        <w:t xml:space="preserve">Policies and processes are in place to enable those who identify as Māori to have their needs met in a manner that respects their cultural values and beliefs.  Care is guided by a comprehensive Māori health plan and related policies. There is no evidence of abuse, neglect or discrimination and staff understand and implement related policies. Professional boundaries and good practices are being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 xml:space="preserve">Family involvement is encouraged. Links with the community are maintained with access to community support organisations, volunteers and specialist health providers.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Strategic, business and quality plans include the scope, direction, goals, values and mission statement of the organisation.  Monitoring of the services provided to the governing body was regular and effective. An experienced and suitably qualified person manages the organisation and the hospital facility.  </w:t>
      </w:r>
    </w:p>
    <w:p w:rsidRPr="00A4268A">
      <w:pPr>
        <w:spacing w:before="240" w:line="276" w:lineRule="auto"/>
        <w:rPr>
          <w:rFonts w:eastAsia="Calibri"/>
        </w:rPr>
      </w:pPr>
      <w:r w:rsidRPr="00A4268A">
        <w:rPr>
          <w:rFonts w:eastAsia="Calibri"/>
        </w:rPr>
        <w:t xml:space="preserve">The quality and risk management systems are well developed and includes collection and analysis of quality improvement data, identifies trends and leads to improvements. Staff are involved through a range of improvement project activities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and volunteers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Information about entry to the service is readily available. The organisation works closely with the local Needs Assessment and Service Co-ordination Service, to ensure access to the facility is appropriate and efficiently managed. </w:t>
      </w:r>
    </w:p>
    <w:p w:rsidRPr="00A4268A" w:rsidP="00621629">
      <w:pPr>
        <w:spacing w:before="240" w:line="276" w:lineRule="auto"/>
        <w:rPr>
          <w:rFonts w:eastAsia="Calibri"/>
        </w:rPr>
      </w:pPr>
      <w:r w:rsidRPr="00A4268A">
        <w:rPr>
          <w:rFonts w:eastAsia="Calibri"/>
        </w:rPr>
        <w:t xml:space="preserve">A range of nursing and other clinical assessments, including the electronic interRAI assessment, are completed when a resident enters the service.  Registered nurses are on duty 24 hours each day in the facility and are supported by hospital aides, allied health staff and a designated general practitioner.   Shift handovers and communication sheets guide continuity of care. </w:t>
      </w:r>
    </w:p>
    <w:p w:rsidRPr="00A4268A" w:rsidP="00621629">
      <w:pPr>
        <w:spacing w:before="240" w:line="276" w:lineRule="auto"/>
        <w:rPr>
          <w:rFonts w:eastAsia="Calibri"/>
        </w:rPr>
      </w:pPr>
      <w:r w:rsidRPr="00A4268A">
        <w:rPr>
          <w:rFonts w:eastAsia="Calibri"/>
        </w:rPr>
        <w:t>Service delivery plans are entered into ‘VCare’, an electronic information management system. All plans viewed were individualised and comprehensive. They are based on an integrated range of clinical information from multiple sources. Short term care plans are developed to manage any new problems that might arise. All residents’ files reviewed demonstrate that needs, goals and outcomes are identified and reviewed on a regular basis. Family members and residents interviewed reported being well informed and involved in care planning and evaluation. All stated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The planned activity programme, overseen by a diversional therapist, provides residents with a variety of individual and group activities according to a Te Ora framework. A team of volunteers assist residents to participate in activities.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an electronic system.  Medications are administered by registered nurses and enrolled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A food safety plan and policies guide safe food service delivery and staff have relevant food safety qualifications. The kitchen was well organised, clean and has an external registration confirming it meets industry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their families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Call bells to summon assistance are in all resident areas.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Nurse Maude has implemented policies and procedures that support the minimisation of restraint.  There were no enablers in use at the time of audit. Staff were clear that enablers are voluntary for the safety of patients in response to individual requests. There was one resident using a restraint, which was the least restrictive option and used to keep the resident safe.  A comprehensive assessment, approval and monitoring process with regular reviews occurring. Staff demonstrated a sound knowledge and understanding of the restraint process.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There are terms of reference for the infection control committee and specialist infection prevention and control advice can be accessed from the District Health Board; the local public health unit and laboratory consultants.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are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Related data is analysed, and any patterns or trends identified for quality improvement purposes. Follow-up action to assist with prevention and control practices is taken as and when required. Results are reported through all levels of the organisation.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7"/>
        <w:gridCol w:w="1280"/>
        <w:gridCol w:w="102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Nurse Maude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and on advocacy services are included as part of the orientation process for all staff employed, as well as in ongoing training. This was verified in training records sighted and during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 staff interviewed understand the principles and practice of informed consent. Informed consent policies provide relevant guidance to staff and cover the various types of consent. These include competence to consent, Enduring Power of Attorney and decision-making processes, as well as for decisions around cardiac arrest/cardio-pulmonary resuscitation. A consent for Nurse Maude services, admission, treatment, care and support form is completed and filed on each resident’s record at the time of admission. A Disclosure of Information form is also signed. Clinical files reviewed show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manager explained how advance care planning and the establishment and documentation of Enduring Power of Attorney requirements are encouraged. Copies of such documentation were found in residents’ files reviewed. Processes for residents unable to consent are defined and documented where relevant in resident’s records.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nationwide Advocacy Service. The information pack provided to a resident at the time of their admission includes additional information on use of an advocate. Posters related to the Advocacy Service were displayed in the facility, and additional brochures were available at reception. Family members and residents interviewed were aware of the Advocacy Service and knew of their right to have support persons whenever they wanted or needed one.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how to access the nationwide Advocacy Service. The clinical nurse manager and service manager have an open-door policy. Neither could recall any time since the last audit when the advocacy service had been accessed but stated that residents and family are advised of this option whenever a complaint is made. Family members regularly advocate on behalf of residents and examples of these were discussed with the service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prepare residents for outings on time and show an interest in residents’ families. The large and diverse group of volunteers, including school children, enhance community links. Community services such as the Stroke Foundation, the Parkinson’s Society and the Cancer Society are being accessed, as are specialist health services for additional support when indicated.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maintain links with their family. The facility has unrestricted visiting hours and encourages visits from residents’ family and friends.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 meet the requirements of Right 10 of the Code.  Information on the complaint process is provided to residents and families on admission and those interviewed knew how to do so.  Suggestion, Compliments and Complaints Forms were visible around the facility to provide an alternative way for feedback. Residents and family members reported that the clinical nurse manager (CNM) and/or quality facilitator are always available to discuss any concerns.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complaints have been received over the past year and that actions taken, through to an agreed resolution, are documented and completed within the timeframes.  Action plans showed any required follow up and improvements have been made where possible.  The 2017 resident/family satisfaction survey identified that complaints resolution was an area that could be improved, and a corrective action process has been put in place to do so. The quality coordinator is responsible for complaints management and follow up, with support from the hospital quality facilitator and clinical nurse manager.  Any complaints are reported through to the clinical governance group and quality and risk sub-committee of the board via a comprehensive quarterly quality and risk report.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external sources since the previous audit for the hospital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Most residents interviewed reported being made aware of the Code and the Nationwide Health and Disability Advocacy Service (Advocacy Service) when they were admitted. Copies of the Code and associated information is included in the information package at the time of admission.  Family members also confirmed that such information was provided at the time of admission. The service manager informed that translations of the Code into other languages, or copies in other formats, can be made available, although this is seldom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displayed in both the upstairs and downstairs sections of the hospital together with information on advocacy services. Details about how to make a complaint and copies of feedback forms are available at the front desk and through any manager or staff person.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one on confidentiality and privacy and details how the Privacy Code will be adhered to. Residents and families confirmed that they are receiving services in a manner that has regard for their dignity, privacy, sexuality, spirituality and choices. Nurse Maude documentation also states that clients receive services in a manner that recognises their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residents’ privacy and were observed doing so throughout the audit by shutting doors when assisting residents or taking residents back to their room. Likewise, staff were heard to be giving residents choices during day to day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service delivery plans detail abilities and personalised strategies in which they can be assisted to maintain and maximise their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family violence policy on abuse and neglect, that has a framework to identify and manage family violence. They also know what to do should there be any signs of abuse or neglect, as policies also describe the different types of abuse. The managers were familiar with the role of Aged Concern in supporting organisations with reported incidents of abuse or neglect, should the need arise. Education on abuse and neglect is part of the orientation programme for staff, and is then provided on an annual basis, as confirmed in staff and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demonstrates a strong focus on meeting the needs of Māori people. A Kaumātua and a Kaiāwhina maintain close links with the Kaihatu Māori (Māori advisor) who is now a member of the senior management team. A Nurse Maude strategic overview notes the organisation honours the Te Tiriti o Waitangi and reinforces respect for tangata whenua. There is a 2016-2018 Māori Health Action Plan based on the national Māori Health Strategy that describes the organisation’s commitment to addressing special health needs of those who identify as Māori; defines a bi-cultural model of care and includes a set of objectives and planned actions with key indicators. A document titled ‘Tikanga – Guidelines when working with Māori’ was viewed and provides guidance to staff. An organisation-wide Neehi Maude Komiti Māori (Māori committee) is open to all staff who identify as Māori and they work together to advise on Māori related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around 400 clients who use Nurse Maude services identify as Māori, only one person in the hospital services is recorded as being of Māori ethnicity. This person has confirmed that they do not wish to identify as Māori. The resident and a family member, who is affiliated to local Māori cultural services, have both confirmed that a Māori framework is not required for the resident’s service delivery / care plan.  Staff work closely with this person’s 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safety policy was sighted and, not only defines culture in a broad sense, but notes it is not restricted to age, generation, gender, sexual orientation, occupation and socioeconomic status, ethnic origin or migrant experience, religious or spiritual belief and disability. In addition to the Māori Health Plan, there is a separate Pacific Health Plan. Recording ethnicity data is now a compulsory field in the electronic resident information management system, which is reportedly helping residents’ culture and values to be respected. Staff informed the auditor during interview that cultural safety training is part of orientation and of ongoing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clearly identified what ethnicity each resident identifies with and what their wider cultural needs are. Staff confirmed they are aware of the needs of one person who is a devout Catholic and the things that enable the person to feel safe. Chinese speaking staff have reportedly enhanced resident care, especially when a person has received end of life care. Examples of these were also evident in interRAI outcomes. A resident satisfaction questionnaire includes evaluation of how well residents’ cultural needs are met and results confirmed that individual needs are being met. Residents verified during interviews that they were consulted on their individual culture, values and beliefs and all stated that all their needs are being fulfilled. The activity coordinator described the pastoral care available and provided examples of how staff have acknowledged individual’s spiritual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No examples of these behaviours were evident in the incident reporting system.</w:t>
            </w:r>
          </w:p>
          <w:p w:rsidR="00EB7645" w:rsidRPr="00BE00C7" w:rsidP="00BE00C7">
            <w:pPr>
              <w:pStyle w:val="OutcomeDescription"/>
              <w:spacing w:before="120" w:after="120"/>
              <w:rPr>
                <w:rFonts w:cs="Arial"/>
                <w:b w:val="0"/>
                <w:lang w:eastAsia="en-NZ"/>
              </w:rPr>
            </w:pPr>
            <w:r w:rsidRPr="00BE00C7">
              <w:rPr>
                <w:rFonts w:cs="Arial"/>
                <w:b w:val="0"/>
                <w:lang w:eastAsia="en-NZ"/>
              </w:rPr>
              <w:t>The generic, organisation-wide induction process for new staff includes education related to professional boundaries and expected behaviours. These professional boundaries and expected behaviours are written into all position descriptions and staff sign a Code of Conduct. Copies of these were sighted in staff files. Staff are required to follow organisational policies and procedures, which guide professional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and procedures reviewed for stage one audit support good practice. Input from a diverse range of internal and external specialists included for example: the hospice/palliative care team and on-site hospice specialists, diabetes nurse specialist, physiotherapist, wound care specialist, community dieticians, services for older people, seating specialists, psychogeriatrician and mental health services for older persons. The general practitioner (GP) confirmed the nurses seek prompt and appropriate medical intervention when required and are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informed they receive management support for external education and access their own professional networks such as infection control webinars, palliative nursing care team and New Zealand Nurses’ Organisation to support contemporary good practice. Of note, is that 70% of registered nurses either have or are studying for relevant post-graduate qualifications.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rating of continuous improvement has been allocated for this standard, as best practice was also evident in quality improvement initiatives in the hospital. These were specific to aspects of service delivery and some have resulted in external recognition, including publication of the results for one. A summary of the achievements for residents is trending down in the number of residents’ falls; a decrease in the number of skin tears; improved wound care documentation; a significant reduction in the use of restraints; a reduction in the number of falls related to challenging behaviours and changed perspectives on care planning, with them now being based on residents’ needs, rather than management of the presenting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stated they are kept well informed about any changes that occur and family members confirmed they are updated about their relative’s status when relevant. They are advised in a timely manner about any incidents such as falls and skin tears as well as outcomes of regular and any urgent medical reviews. This was supported in residents’ records reviewed in VCare.  There was also evidence of resident/family input into the care planning, and care plan review processes. Staff understood the principles of open disclosure, which is supported by policies and procedures that meet the requirements of the Code. The service manager advised that although there was no recent example available, when open disclosure is required, the first next of kin identified in the resident’s record is advised at the most appropriate opportunity after the event and the time and date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According to policy documentation, interpreter services are accessible via the DHB should these be required. The service manager and clinical nurse manager knew how to access them, although reported this had not been required for several years. Family members have assisted with translation of information for residents, or staff have been used as and when needed for residents for whom English was not their first language. There are not currently any residents who are not able to communicate in English, however the managers described several creative ideas that had previously been used to assist with communication.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Maude Strategic Overview 2016-2020 defines the vision, mission, values and scope of the services, as does the Quality Plan. Each of the four major services have an integrated service, quality and health &amp; safety plan. The Nurse Maude Hospital Integrated Service Action Plan 2017-2020 reviewed included goals, a service description, performance measures and indicators and progress reporting. Plans are reviewed annually. Nurse Maude has also adopted the Baldrige excellence model with a set of key performance areas which are the drivers of business success in the medium to long term. These are customer focus, motivated staff, high quality but affordable services, business development and growth, financial viability, leadership and direction. Progress in these areas forms part of the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three reports to the board of directors showed adequate information to monitor performance is reported including financial performance, health and safety and a clinical quality and risk update, including emerging risks and issues. Two members of the board interviewed felt well informed about the service and that they were advised of risks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Nurse Maude is managed by an experienced chief executive officer (CEO) who holds relevant qualifications and has many years’ experience in the health sector. The hospital clinical nurse manager reports to the service manager for the hospital service, both of whom are well qualified and experienced for their roles.   Responsibilities and accountabilities are defined in job descriptions and individual employment agreements.  The managers interviewed confirmed knowledge of the sector, regulatory and reporting requirements and maintain currency through the many community and professional group memberships.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Canterbury District Health Board for both rest home and hospital level care. At the time of audit all 30 residents were receiving hospital level care (two of whom were respite).  Within the ARRC agreement are contracts for Support Care: Severe Medical Illness (SMI) and End of Life (EoL)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chief executive is supported by a senior management team of six. There have been changes to the structure over the past year with the departure of the director of nursing. Options to ensure strong nursing leadership in the future are being explored with various aspects of the role distributed among the team, at this stage.  The organisational structure reviewed defines lines of reporting and all staff spoken with were clear about roles and responsibilities.  When the CEO or any member of the senior management team (SMT) are absent, responsibilities are delegated to another member, with email notification to all staff affected.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is driven from the Nurse Maude Strategic Plan, the Nurse Maude Quality Plan and each service level plan. Dimensions of quality have been defined and the organisation uses a quality improvement methodology framework, including the ‘Plan- do – check – act’ process. Each service has a quality improvement register, with nine projects noted on the hospital register covering major and minor projects (eg, the introduction of the ‘Vcare’ electronic health record, wound care management, falls prevention and implementation of the Te Ara Whakapiri end of life care plan). Refer also criterion 1.1.8.1.</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is a standard agenda item at the service quality meetings, the clinical governance group (the function of which is currently under review), and the board quality &amp; risk sub-committee as confirmed in the sample of meeting minutes reviewed.  A comprehensive quality and risk quarterly report includes analysis and trending of data related to incidents, falls, skin tears, complaints and compliments, projects, audit activity, restraint, infections and resident survey results.  Relevant corrective actions are developed and implemented to address any shortfalls. Quality improvement initiatives and corrective actions are tracked on registers, available for all staff to 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projects, audit activities and as part of their professional development and recognition programme (PDRP) activities and requirements.  Resident and family satisfaction surveys have been completed showing a high level of satisfaction, with an opportunity for improvement identified and actioned to improve complaints resolution (refer also standard 1.1.13).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including those suitable for the provision of medical (non-acute) services. The electronic data base ‘SharePoint’ is used to access policies, allowing for an easy search function.  Policies are based on best practice and, with a few exceptions,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senior human resources (HR) advisor manages the health and safety programme for the organisation and described the processes for the identification, monitoring, review and reporting of risks and development of mitigation strategies. She is familiar with the Health and Safety at Work Act (2015) and works with the health and safety committee and the SMT to support a safe environment. The board is aware of their responsibilities in this area. The health and safety risk register reviewed was comprehensive and current. The general organisational wide risk register was also reviewed and discussed with the quality coordinator who oversees this. This identifies 83 risks across the organisation, including service specific risks. These are analysed, rated, mitigation strategies developed, reviewed and reported to various levels of the organisation based on the level of risk.  An example of a risk ‘red flag’ was noted in one of the meeting minutes/reports to the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which is part of the ‘Assura’ electronic reporting system. All incidents are rated according to the national severity assessment code (SAC) rating system.  Staff interviewed reported this is easy to use and a sample of four incidents reviewed showed these were fully completed, incidents were investigated, action plans developed and actions followed-up in a timely manner.  Adverse event data is collated, analysed and reported to the hospital quality meeting. Key performance indicators (KPIs) have been set and incident numbers measured against these. Trends are identified. The monthly quality reports and meeting minutes are displayed on a specific quality notice board in the clinical areas, as sighted.  An example of a planned corrective action process as a result of a negative trend in medication errors was discussed and has led to reduction in errors over a 12-month period, with ongoing close monitoring occurring.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described essential notification reporting requirements. They advised there has been one notification of a power outage (during the 2017 Port Hills fire event) made to the Ministry of Health.  There have been no notifications specific to the hospital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recruiting manager initiates the ‘creating a job vacancy’ and Approval to Appoint (ATA) process through the electronic recruitment system ‘Snaphire’. The recruitment process includes referee checks, a Ministry of Justice check, and validation of qualifications and practising certificates (APCs), where required.   A sample of staff records reviewed confirmed the organisation’s policies are being consistently implemented and records are maintained. The current staff have the skills and knowledge to provide medical (non-acute) services, with access to specialist advice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 large volunteer workforce and the manager of the volunteers interviewed was able to demonstrate the employment process which follows the same lines as for paid staff and meets good practice requirements. The records of a new volunteer working through the employment process on the day of the audit were reviewed with the manager and demonstrated a robust and comprehensive process, including referee checking. Volunteers are used in the hospital service to support the activities staff/programme and provide one-on-one activities (eg, reading the paper to a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volunteer orientation includes all necessary components relevant to the role. The orientation process is both organisation wide and role/service specific and includes a ‘buddy’ process. Staff reported that the orientation process prepared them well for their role.  Staff records reviewed showed documentation of completed orientation. Volunteers complete a programme appropriate to their specific role, including infection prevention and control and health and safety components.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The calendar for 2018 was reviewed and discussed with the CNM, who is in the process of developing the 2019 programme. Education is overseen by the CNM with the support of the part-time educator. Most training is provided via ‘e-learning’ using Moodle and HealthLearn.   Records are kept on both the PayGlobal electronic system and by the educator on a spreadsheet and showed that all requirements have been met or are in progress. The service manager discussed the annual performance appraisal process which meets requirements, and which identified training opportunities and professional development goals. Staff interviewed felt very well supported by the organisation in this area.  There are nine RNs who are trained and competent in the interRAI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There is a mix of RNs, ENs and hospital aides on morning and afternoon shifts and a minimum of one RN and two hospital aides on each night.  The hospital service is spread across two floors. Staff interviewed reported that, although they are allocated to one floor, both areas work together as a team and staff will move between the floors to support the needs of residents at any given time. The service can adjust staffing levels to meet the changing needs of residents and the clinical nurse manager (CNM) described the use of the hospital casual pool to support any increase in demand or unplanned leave.  InterRAI acuity data is reviewed but found to be of limited use in relation to staffing decisions.  No changes will be required to accommodate medical (non-acute) services. Access to expertise from within other Nurse Maude Services and external specialist health professionals is available and used, as and when required. The service manager and CNM share on call responsibilities. There is also access to a duty manager with roles and responsibilities defined. Staff reported there were adequate staff available and this was supported by the residents and family members interviewed.  Observations and review of a roster cycle confirmed adequate staff cover had been provided, with staff replaced in any unplanned absence.  At least one staff member on duty has a current first aid certificate and/or CPR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w:t>
            </w:r>
          </w:p>
          <w:p w:rsidR="00EB7645" w:rsidRPr="00BE00C7" w:rsidP="00BE00C7">
            <w:pPr>
              <w:pStyle w:val="OutcomeDescription"/>
              <w:spacing w:before="120" w:after="120"/>
              <w:rPr>
                <w:rFonts w:cs="Arial"/>
                <w:b w:val="0"/>
                <w:lang w:eastAsia="en-NZ"/>
              </w:rPr>
            </w:pPr>
            <w:r w:rsidRPr="00BE00C7">
              <w:rPr>
                <w:rFonts w:cs="Arial"/>
                <w:b w:val="0"/>
                <w:lang w:eastAsia="en-NZ"/>
              </w:rPr>
              <w:t>Both hard copy and electronic systems were in place, with the electronic (VCare) system increasingly being used as more staff become trained in its intricacies. In both systems, all clinical notes reviewed were current and integrated with GP and allied health service provider notes. InterRAI assessment information is being entered into the Momentum electronic database and manually transferred across to the VCare electronic system. Summary interRAI documents are printed off and filed in the hard copy records. Residents’ clinical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and are readily retrievable using a cataloguing system. They initially remain on site in a locked room upstairs, until transferred across to a secure off-site document storage system approximately one year later. Residents’ files are reportedly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 Current files were in padlocked units with keys held by key personnel.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processes from local hospitals and a range of health services and health professionals are the main ways in which new residents enter the Nurse Maude hospital, although families and prospective residents may make initial enquiries at any time. Entry to the service may commence once the person’s required level of care has been assessed and confirmed by the local Needs Assessment and Service Coordination (NASC) Service. Prospective residents and/or their families are encouraged to visit the facility prior to admission and meet with either the service manager, or the clinical nurse manager. Any person making an enquiry about the service provider, or who has been transferred into the service, is provided with written information about the service and the admission process.  At times, the service operates a waiting list for entry, otherwise residents may enter direct from the local public hospitals when there is a vacancy. The organisation seeks additional information from the health system including GP practices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All said the process had been straight forward and that all questions had been satisfactorily answered. Files reviewed contained completed demographic details,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either a family member or staff person acting as an escort as appropriate.  The service uses the DHB’s ‘yellow envelope’ system to facilitate transfer of residents to and from acute care services. There is open communication between all services, the resident and the family.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transition between services, appropriate information, including medication records and the care plan is provided for the ongoing management of the resident.  An example reviewed of a patient recently transferred to and from another facility showed relevant documentation was made available and open communication processes had occurred.  Likewise, relevant documentation had been made available for a person (the tracer) who had had several admissions to acute local hospital services over recent months. Family of the resident reported being kept well informed during the transfers of their relative.</w:t>
            </w:r>
          </w:p>
          <w:p w:rsidR="00EB7645" w:rsidRPr="00BE00C7" w:rsidP="00BE00C7">
            <w:pPr>
              <w:pStyle w:val="OutcomeDescription"/>
              <w:spacing w:before="120" w:after="120"/>
              <w:rPr>
                <w:rFonts w:cs="Arial"/>
                <w:b w:val="0"/>
                <w:lang w:eastAsia="en-NZ"/>
              </w:rPr>
            </w:pPr>
            <w:r w:rsidRPr="00BE00C7">
              <w:rPr>
                <w:rFonts w:cs="Arial"/>
                <w:b w:val="0"/>
                <w:lang w:eastAsia="en-NZ"/>
              </w:rPr>
              <w:t>All referrals are documented in the progress notes with a copy of the referral form held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current and identifies all aspects of medicine management in line with legislation and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Safe medicine management via the use of an electronic system, was observed on the day of audit. The staff observed demonstrated good knowledge and had a clear understanding of their roles and responsibilities related to each stage of medicine management.  Only registered and enrolled nurses administer medications, and all have completed an annual medicine management competency that includes specialty areas of management of diabetes, warfarin and syringe drivers, for example.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two registered nurses against the prescription. All medications sighted were within current use by dates. A clinical pharmacist visits the hospice daily and is available to respond to hospital staff enquiries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are checked by two staff for accuracy in administration. An internal review that had resulted in additional monitoring of documentation for controlled drugs was sighted and confirmed improvements. The review had been initiated in response to less than optimum internal audit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daily temperature checks for the medicine fridge and the medication room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evident within the electronic system and demonstrated key requirements of dates, identity of the prescriber, at least three-monthly reviews, evidence of discontinuation of medicines and all requirements for pro re nata (PRN) medicines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not currently any residents who self-administer medicines at the time of audit, although safe systems are in place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through Assura, the electronic adverse event reporting system.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Neither standing orders nor verbal orders are used at this facility as the GP prescribes through the electronic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provided on site by an external contractor and team of kitchen assistants and is in line with recognised nutritional guidelines for older people.  The four-week rotating menu follows summer and winter patterns, meets the nutritional guidelines for older people. The kitchen manager advised that the menus are reviewed annually by a qualified dietitian employed by the kitchen contractor and evidence of the annual review of the summer menu was sighted. According to the kitchen manager, she liaises with the dietitian to have items replaced with others of similar nutritional value whenever menu items are not consistent with the preferences and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satisfaction surveys and resident meeting minutes. Residents were seen to be given enough time to eat their meal in an unhurried fashion and those requiring assistance had this provided. There are sufficient staff on duty in the dining rooms at meal times to ensure appropriate assistance is available to residents as needed and a team of volunteers are scheduled to provide additional assistance.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issued by the Ministry of Primary Industries that has an expiry date of 7 April 2019. In addition, the contractor has industry registrations of ISO9001, ISO14001 and ACC WSMP Tertiary through Telarc. Food temperatures, including for high risk items, are monitored appropriately and recorded as part of the plan. The food services manager has undertaken a safe food handling qualification, with kitchen assistants completing ongoing relevant food handling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The service manager advised she will provide advice and direction to assist people for whom Nurse Maude will not be the best service provider to meet their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the manager advised that a referral for reassessment to the NASC would be made and in consultation with the resident and whānau/family, a new placement found. No examples of this occurring could be recalled. However, an example of a person returning to Nurse Maude on the day of audit, after a week in another facility, was discussed with the service manager. The person’s records were reviewed, and the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nursing assessment is completed on entry to the service for each resident. More specific information is documented as indicated, using validated nursing assessment tools such as Abbey pain scale, falls risk, Braden scale for skin integrity, nutritional screening and depression scale. All such assessments identify shortfalls, deficits and any resident’s needs to inform care planning. </w:t>
            </w:r>
          </w:p>
          <w:p w:rsidR="00EB7645" w:rsidRPr="00BE00C7" w:rsidP="00BE00C7">
            <w:pPr>
              <w:pStyle w:val="OutcomeDescription"/>
              <w:spacing w:before="120" w:after="120"/>
              <w:rPr>
                <w:rFonts w:cs="Arial"/>
                <w:b w:val="0"/>
                <w:lang w:eastAsia="en-NZ"/>
              </w:rPr>
            </w:pPr>
            <w:r w:rsidRPr="00BE00C7">
              <w:rPr>
                <w:rFonts w:cs="Arial"/>
                <w:b w:val="0"/>
                <w:lang w:eastAsia="en-NZ"/>
              </w:rPr>
              <w:t>The sample of care plans reviewed also had an integrated range of resident-related information obtained from needs assessors, other health professionals, hospital admissions, family interviews and the resident themselves, when possible.  A printed list extracted from the electronic system confirmed all residents have current interRAI assessments completed by one of nine trained InterRAI assessors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completes a personal, social profile for each new resident within the first three days of admission and this information contributes to the development of their activity plan. A physiotherapist visits once a week and undertakes an assessment of the mobility, equipment and manual handling needs of each new resident. A physiotherapy assistant, who works five days a week, follows through on the physiotherapist’s recommendations.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service plans are documented electronically within the VCare system. The goals and comprehensive action plans demonstrated follow-through from the outcomes of the integrated assessment process and other relevant clinical information available. Likewise, the care plans reviewed reflected the needs identified by the interRAI assessments and re-assessments. Registered nurses are responsible for development of the service delivery plans and for ensuring the hospital aides implement them as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delivery plans evidence service integration with progress notes, activities notes, medical and allied health professional’s notations clearly written, informative and relevant. All residents’ files reviewed were comprehensive and addressed the holistic needs of the relevant residents. Any change in care required was documented and reported to be verbally passed on to relevant staff. Short term care plans were in place for conditions that the service manager described as being out of the usual and included infections, wounds and broken skin integrity.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reported consultation and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Family members/whānau repeatedly expressed gratitude for the high level of care provided, the professionalism of staff and the efforts made to meet residents’ needs. Residents reiterated these comments and noted that staff listen to them and give them options.</w:t>
            </w:r>
          </w:p>
          <w:p w:rsidR="00EB7645" w:rsidRPr="00BE00C7" w:rsidP="00BE00C7">
            <w:pPr>
              <w:pStyle w:val="OutcomeDescription"/>
              <w:spacing w:before="120" w:after="120"/>
              <w:rPr>
                <w:rFonts w:cs="Arial"/>
                <w:b w:val="0"/>
                <w:lang w:eastAsia="en-NZ"/>
              </w:rPr>
            </w:pPr>
            <w:r w:rsidRPr="00BE00C7">
              <w:rPr>
                <w:rFonts w:cs="Arial"/>
                <w:b w:val="0"/>
                <w:lang w:eastAsia="en-NZ"/>
              </w:rPr>
              <w:t>The attention to meeting the diverse range of each resident’s individualised needs was evident in all areas of service provision.  The GP interviewed, verified that medical input is sought in a timely manner, that medical orders are followed, and care is, overall, of a high standard. Care staff confirmed that care was provided as outlined in the documentation and expressed pride in working for this service provider. A range of equipment and resources suited to the level of care being provided, and in accordance with individual resident’s needs, was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coordinated by a trained diversional therapist who holds a national Certificate in Diversional Therapy. Two volunteers are rostered for each morning and two for the afternoon, to assist with implementation of the programme. Efforts are made to cover weekend days; however, this is not always possible. The diversional therapist informed she can request additional volunteers from the volunteer coordinator for special events when this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personal profile that includes a social, occupational, spiritual, cultural, physical and intellectual assessment and history is completed for each resident on admission. The information obtained is used to ascertain the resident’s needs, interests, abilities and social requirements and contributes to the planning of the weekly activity programme. Te Ora (Therapeutic Everyday Occupational Recreational Activities) is the framework used for the overall activity programme provided. The level of each person’s participation in the activity programme is monitored and evaluation of the personal activity goals is undertaken approximately six-monthly. Changes are currently underway to align the review of activity goals with the six-monthly evaluation of the formal six-monthly care plan review using VCare.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activity plans that were sighted matched skills, likes, dislikes and interests identified in summarised assessment data.  Planned activities reflect the Te Ora framework and although there are few outings, the programme is varied and reflects ordinary patterns of life. Individual, group activities and regular events within the facility are organised. Interdenominational prayer and hymn services are organised weekly. Volunteers are actively involved and reportedly make significant contributions. Examples of activities in the programme included live entertainment, newspaper reading, baking, craft, games, quizzes, happy hour and seasonal celebrations. </w:t>
            </w:r>
          </w:p>
          <w:p w:rsidR="00EB7645" w:rsidRPr="00BE00C7" w:rsidP="00BE00C7">
            <w:pPr>
              <w:pStyle w:val="OutcomeDescription"/>
              <w:spacing w:before="120" w:after="120"/>
              <w:rPr>
                <w:rFonts w:cs="Arial"/>
                <w:b w:val="0"/>
                <w:lang w:eastAsia="en-NZ"/>
              </w:rPr>
            </w:pPr>
            <w:r w:rsidRPr="00BE00C7">
              <w:rPr>
                <w:rFonts w:cs="Arial"/>
                <w:b w:val="0"/>
                <w:lang w:eastAsia="en-NZ"/>
              </w:rPr>
              <w:t>Mixed opinions about the activity programme were provided during staff, resident and family interviews with some saying there was a good range of interesting and varied activities and others using the words ‘sometimes good’, ‘some appear bored’ or ‘suppose it is okay’.  However, resident and family satisfaction surveys demonstrated satisfaction with the programme.  The activities programme is discussed at the monthly residents’ meetings. Minutes showed that residents’ input is sought and responded to. Comments about the programme were generally favourable and new suggestions had been offered and followed through when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Progress notes are still hard copy and those sighted were comprehensive and informative. Registered nurses coordinate handovers at shift changes and manage any changes in a resident’s condition.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and as residents’ needs change.  These are now being undertaken electronically. All evaluations are documented by a registered nurse. Where progress is different from expected, the service responds by initiating changes to the plan of care. In the care plans reviewed, there were multiple examples sighted of documented changes in response to a person(s) condition changing.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short-term care plans, which are also recorded electronically, demonstrated these are being consistently reviewed according to the level of clinical indication and the degree of clinical risk. Most reviews are occurring every one to two days. Wound management care plans are being reviewed according to the individual treatment plans with evaluations occurring when dressings are changed.  According to resident and family members interviewed, staff provide ongoing informal updates on progress. Multi-disciplinary reviews that involve family members and wider allied health teams are undertaken when a person’s condition has changed significantly, or annually. Residents and families/whānau interviewed provided examples of involvement in evaluation of progress.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a registered nurse sends a referral to seek specialist input.  Copies of referrals were sighted in residents’ files, including to stoma services, wound care specialists, palliative care team, allied health services and specialist consultants for example, as well as to organisations such as the Stroke Foundation and Alzheimer’s New Zealand. </w:t>
            </w:r>
          </w:p>
          <w:p w:rsidR="00EB7645" w:rsidRPr="00BE00C7" w:rsidP="00BE00C7">
            <w:pPr>
              <w:pStyle w:val="OutcomeDescription"/>
              <w:spacing w:before="120" w:after="120"/>
              <w:rPr>
                <w:rFonts w:cs="Arial"/>
                <w:b w:val="0"/>
                <w:lang w:eastAsia="en-NZ"/>
              </w:rPr>
            </w:pPr>
            <w:r w:rsidRPr="00BE00C7">
              <w:rPr>
                <w:rFonts w:cs="Arial"/>
                <w:b w:val="0"/>
                <w:lang w:eastAsia="en-NZ"/>
              </w:rPr>
              <w:t>Referrals are followed up on a regular basis by the registered nurse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including cytotoxic drugs.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with staff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January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adequately maintained.  The environment is appropriate for residents, with comfortable furniture and areas for families and visitors on both floors. The testing and tagging of electrical equipment and calibration of bio medical equipment is current as was confirmed in documentation reviewed, interviews with the quality facilitator and quality coordinator and observation of the environment/equipment.  There is documentation displayed in staff areas relating to emergency contacts for any specific urgent maintenance/repairs.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for residents are currently limited due to the building of the new hospital on the same site. This is very near completion and incorporates external areas for residents. In the interim, residents do have access to the outside area near the hospice which provides a safe environment for residents and families with some children’s play equipment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Rooms have either their own ensuite or share a bathroom between two or three rooms. There are appropriate locking devices for privacy.  All have secured and approved handrails and other equipment/accessories available to promote independence and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rooms are of an adequate size.  Items to personalise each resident’s room were evident.  There are areas to store equipment and walking aides.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both floors of the hospital area, communal areas are available for residents and families to engage in activities. Privacy can be maintained.  There are dining areas set up to support a home like environment.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of the kitchen service has recently taken over the management of both the laundry and cleaning services. This is an externally contracted service. The onsite laundry was visited, and processes discussed with the manager who outlined several recent improvements.  Regular audits of the laundry occur with an annual audit by the infection prevention and control service. Filters in the dryers are changed daily. The area was clean and well organised. Handwashing facilities are well located. </w:t>
            </w:r>
          </w:p>
          <w:p w:rsidR="00EB7645" w:rsidRPr="00BE00C7" w:rsidP="00BE00C7">
            <w:pPr>
              <w:pStyle w:val="OutcomeDescription"/>
              <w:spacing w:before="120" w:after="120"/>
              <w:rPr>
                <w:rFonts w:cs="Arial"/>
                <w:b w:val="0"/>
                <w:lang w:eastAsia="en-NZ"/>
              </w:rPr>
            </w:pPr>
            <w:r w:rsidRPr="00BE00C7">
              <w:rPr>
                <w:rFonts w:cs="Arial"/>
                <w:b w:val="0"/>
                <w:lang w:eastAsia="en-NZ"/>
              </w:rPr>
              <w:t>Chemical storage has recently been reviewed and now all chemicals are stored in one location with new cleaning trollies safely stored in clinical areas. Chemicals in sluice rooms were labelled and stored safely.  Cleaning chemicals for any machines are supplied by an externally contracted service using a closed system.  Cleaners are allocated hours and areas to clean and cleaning audits occur regularly.  The infection prevention and control manual described chemicals to be used to clean each item/area. There have been some recent changes to cleaning schedule practices to improve services. All clinical areas visited were clean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were known to staff. Disaster and civil defence planning guides direct the facility in their preparation for disasters and described the procedures to be followed in the event of a fire, earthquake or other emergency.  Nurse Maude took part in a recent emergency operations centre exercise practised as part of a regional exercise.  The SMT, service managers, quality team and personal assistants completed CIMS (Coordinated Incident Management Systems) training in August 2018.  The current fire evacuation plan for the hospital area was approved by the New Zealand Fire Service on the 27 February 2008.  A trial evacuation takes place six-monthly with a copy sent to the New Zealand Fire Service, the most recent being on 1 May 2018.  The orientation programme includes fire and security training.  Staff confirmed their awareness of the emergency procedures. A power outage during the fires on the Port Hills (February 2017) demonstrated effective systems were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and mobile phones, were sighted and meet the requirements for the number of residents. Water storage tanks are located around the complex, and there is a generator on site. Emergency lighting and systems are regularly tested. There are also first aid boxes available and easily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There were no concerns raised in relation to the time taken to respond to call bells.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security lighting is in place, as are CCTV cameras in front entrances and common spaces.  Residents, staff and families are made aware of these. There is swipe card access to staff only areas.  There have been no breaches of security to the building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Heating and cooling systems via heat pumps are available. All rooms have good light and ventilation.  There is a specific external smoking area that is safe and meets legislative requirements.  There have been no complaints related to heating or ventilation.  Areas were at a comfortable temperature and well ventilated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This has been developed at organisational level, with input from infection prevention specialists.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An infection control nurse provides advice and support to all Nurse Maude services, including the hospital. The role and responsibilities are defined in a position description and include responsibility for updating policies and procedures, responding to infection related enquiries, outbreak management and infection surveillance. The infection control nurse coordinates an organisation wide infection control committee. She works closely with the quality managers, provides them with monthly infection surveillance reports and assists them with internal audits for the environment, hand hygiene and spot audits, especially cleaning.  A quarterly infection control report is provided to the quality and risk sub-committee of the board and there was evidence of infection control discussion within a set of clinical governance group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unwell,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nurse has appropriate skills, knowledge and qualifications for the role. Training records verified that she has undertaken a post graduate certificate in infection prevention and control, attended relevant study days and attends, and is involved in, annual infection prevention conferences. She has skills as a hand hygiene auditor and a vaccinator.  There is access to suitable local networks, including the GP, infection control teams at the local public hospitals and the local public health unit. Expert advice from the community laboratory is available if additional support/information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has access to residents’ records and diagnostic results to ensure timely treatment and resolution of any infections. She confirmed the availability of resources to support the programme and any outbreak of an infection.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Nurse Maude infection control committee is led by the infection prevention and control nurse. The committee meets 11 times a year and has13 members who are representatives for the various areas of practice throughout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manual contains policies and procedures that reflect the requirements of the infection prevention and control standard and current accepted good practice.  Policies were last reviewed in December 2017, includes appropriate referencing and are ‘living’ documents with ongoing reviews and updates made as the content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infection prevention and control at orientation and ongoing education sessions. Volunteers also attend a slot on infection prevention and control during their orientation. Staff interviewed talked of the five moments of hand hygiene, reported training involving infection prevention and control scenarios and quizzes.  Infection control training topics may be of an ‘on demand’ nature in response to events within the service, or the wider community. Content of the training is documented and evaluated to ensure it is relevant, current and understood.  A record of attendance is maintained. The infection control nurse confirmed annual hand hygiene competencies are undertaken by each staff person. Staff can access infection prevention and control related Health Learn web based self-directed learning and may attend the orientation session more than once if they choose. </w:t>
            </w:r>
          </w:p>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education is provided by suitably qualified personnel, including the infection control nurse who has a slot in the generic orientation for new service providers and external infection prevention and control specialists, one of whom provides a special interest session once a year.</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explanations of requirements for managing antibiotic resistant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detail surveillance processes, which are led by the infection control nurse. Surveillance is appropriate to that recommended for long term care facilities, with infection definitions reflecting a focus on symptoms; however, laboratory results are also checked when relevant. Infections reviewed include urinary tract, soft tissue, fungal, eye, gastro-intestinal, the upper and lower respiratory tract and scabies.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an infection is identified, a record of this is documented in the Assura electronic management system for incident reporting, with appropriate details for the resident entered into VCare. The infection control nurse follows up on all reported infections and collates the data generated from the infection reports. Monthly infection surveillance data is collated and analysed to identify possible causative factors and required actions. Results of the surveillance programme are summarised and shared with the infection prevention and control committee and the quality team, who assist by producing graphs and integrating the information into the wider organisational quality management system. The data analysis and graphs assist in identifying trends for the current year, and comparisons against previous years are made. The hospital benchmarks the occurrence of urinary tract infections against the threshold set by Standards New Zealand as an indicator for safe aged care. </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plans recommended by the infection control nurse are discussed with staff at shift handovers, to ensure early intervention occurs. Infection surveillance results are then shared with staff as part of the quality report at the registered nurses’ and general staff meetings. This was confirmed in meeting minutes sighted and during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across all services, including the hospital,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using bedrails intermittently as a restraint. There were no enablers in use.  Staff interviewed had a clear understanding of the difference between a restraint and an enabler and complete yearly education using an electronic on-line learning programme.</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in the one file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Any restraint use is approved by the restraint coordinator, the GP and the family/EPOA. All matters relating to restraint, including approved restraints and restraint use are reported to the ethics committee (a sub-committee of the board).  The coordinator and staff interviewed were clear about lines of accountability, what restraints have been approved, and that the overall use of restraint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for the one resident using restraint.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RN undertakes the initial assessment with the restraint coordinator’s involvement, and input from the resident’s family/whānau/EPOA. The restraint coordinator and the quality facilitator described the documented process.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The completed assessment was sighted in the record of the resident using bedrails. There is a comprehensive behaviour care plan for this person that identifies triggers and guidance to staff as to how to manage each trigger to prevent the use of the bedrails. Access to specialist services have been used as required (eg, the gerontology service, the occupational therapist and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The restraint coordinator described how alternatives to restraints are discussed with staff and family members (eg, the use of sensor mats, low beds, and for the current resident using a restraint, a ‘perimeter guard mattress’) and proactive management of the resident’s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The monitoring record of the one resident currently using occasional restraint, had the necessary details, including the length of time the bedrails were in use.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regularly reviewed.  The register was reviewed and contained the one resident using a restraint and one other resident who had used a lap belt restraint previously. This person has not used a restraint for over three months due to improved strategies and planning to manage any challenging behaviour.  There was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This has been a focus for the organisation (Refer also criterion 1.1.8.1).  Staff spoken to understood that the use of restraint is to be minimised and how to maintain safety when it is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resident’s file of the person using a restraint showed that the use of restraint was reviewed and evaluated during care plan and interRAI reviews and three-monthly restraint evaluations. There was evidence in the file of family involvement in the evaluation process and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six-monthly review of all restraint use, which includes all the requirements of this Standard, is completed with a report to the ethics committee.  Reports are also discussed at quality and staff meetings, including analysis and evaluation of the amount and type of restraint used in the facility, whether all alternatives to restraint have been considered, the effectiveness of the restraint in use, the competency of staff and the appropriateness of restraint / enabler education and feedback from the doctor, staff and families. Any changes to policies, guidelines, education and processes are implemented if indicated. Data reviewed from the January to June 2018 restraint report and interviews with the CNM and the quality facilitator confirmed that the use of restraint has been steadily reducing, including for the one person currently using bedrails. Over the past year the numbers of restraints in use have reduced from three residents to one, with both the hours and number of episodes reducing significantly.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7367"/>
        <w:gridCol w:w="39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reporting and quality improvement processes have been improved with the use of electronic reporting and data collection processes. Electronic processes are enabling trending against key performance indicators to be more easily identified and relevant benchmarking against New Zealand indicators to occur. Two continuous quality improvement initiatives that have led to best practices are in relation to falls prevention and minimisation and wound care and resident injury. The improved reporting processes identified hospital residents’ falls were exceeding the benchmark. Review processes resulted in recommendations for improvement that were subsequently implemented. There is now a trending down in the number of falls, which have reduced falls below the benchmark level, albeit the ongoing reviews show they are still not at the target set. Similarly, the incidence of resident skin tears rose over the first half of 2018.Quality improvement processes were implemented and included the improvement in wound care documentation and recording of outcomes. The incidence of skin tears is now trending down with the review concluding several good practice processes have contributed to this change. </w:t>
            </w:r>
          </w:p>
          <w:p w:rsidR="00EB7645" w:rsidRPr="00BE00C7" w:rsidP="00BE00C7">
            <w:pPr>
              <w:pStyle w:val="OutcomeDescription"/>
              <w:spacing w:before="120" w:after="120"/>
              <w:rPr>
                <w:rFonts w:cs="Arial"/>
                <w:b w:val="0"/>
                <w:lang w:eastAsia="en-NZ"/>
              </w:rPr>
            </w:pPr>
            <w:r w:rsidRPr="00BE00C7">
              <w:rPr>
                <w:rFonts w:cs="Arial"/>
                <w:b w:val="0"/>
                <w:lang w:eastAsia="en-NZ"/>
              </w:rPr>
              <w:t>A third initiative of note is in relation to an increase in incidents relating to challenging behaviours within hospital services. The VCare recording system was introduced and gave the organisation the opportunity to review how care planning was planned, implemented and achieved. This included appropriate identification of the underlying causes of behaviour that challenge and correctly identifying meaningful goals appropriate to the resident and their family/ whānau needs. Documentation of interventions that show how to reduce triggers causing behaviours that challenge is encouraged, rather than interventions that simply manage the behaviour. A range of monitoring and review processes of care plans and attitudes has been established. Results have demonstrated a significant reduction in the use of restraint, for two residents. In addition, care plans are reportedly showing a change in the type of problems/needs identified to show the underlying cause of behavioural incidents, thus allowing staff to focus on identifying distraction, or interventions to prevent the behaviours that challenge. An unanticipated result has been a reduction in the number of falls associated with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Another area of good practice of note is that Nurse Maude Hospital supports all staff to attend education in addition to education defined as mandatory. As a result, 70% of registered nurses either have, or are studying for, relevant post graduate qualifications. This improves practice overall, gives a solid evidence-base to care provision, and ensures more staff have up to date knowledge.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addition to almost three quarters of registered nurses improving their practice by completing (or currently undertaking) post-graduate qualifications, several service delivery related continuous quality improvement initiatives have been implemented. These initiatives have resulted in a trending down in the number of falls; a decrease in the number of skin tears; improved wound care documentation; a significant reduction in the use of restraints; a reduction in the number of falls related to challenging behaviours and changed perspectives on care planning with residents’ goals and actions now being based on need, rather than just their management.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Nurse Maude Association - Nurse Maude Hospital</w:t>
    </w:r>
    <w:bookmarkEnd w:id="58"/>
    <w:r>
      <w:rPr>
        <w:rFonts w:cs="Arial"/>
        <w:sz w:val="16"/>
        <w:szCs w:val="20"/>
      </w:rPr>
      <w:tab/>
      <w:t xml:space="preserve">Date of Audit: </w:t>
    </w:r>
    <w:bookmarkStart w:id="59" w:name="AuditStartDate1"/>
    <w:r>
      <w:rPr>
        <w:rFonts w:cs="Arial"/>
        <w:sz w:val="16"/>
        <w:szCs w:val="20"/>
      </w:rPr>
      <w:t>1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