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Falls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Falls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2018</w:t>
      </w:r>
      <w:bookmarkEnd w:id="7"/>
      <w:r w:rsidRPr="009418D4">
        <w:rPr>
          <w:rFonts w:cs="Arial"/>
        </w:rPr>
        <w:tab/>
        <w:t xml:space="preserve">End date: </w:t>
      </w:r>
      <w:bookmarkStart w:id="8" w:name="AuditEndDate"/>
      <w:r w:rsidR="00A4268A">
        <w:rPr>
          <w:rFonts w:cs="Arial"/>
        </w:rPr>
        <w:t>7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Falls provides rest home and hospital levels of care for up to 85 residents.  During the audit there were 47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and staff.</w:t>
      </w:r>
    </w:p>
    <w:p w:rsidRPr="00A4268A">
      <w:pPr>
        <w:spacing w:before="240" w:line="276" w:lineRule="auto"/>
        <w:rPr>
          <w:rFonts w:eastAsia="Calibri"/>
        </w:rPr>
      </w:pPr>
      <w:r w:rsidRPr="00A4268A">
        <w:rPr>
          <w:rFonts w:eastAsia="Calibri"/>
        </w:rPr>
        <w:t>The village manager and care centre manager are appropriately qualified and experienced.  There are quality systems and processes established.  Feedback from the residents and families was very positive about the care and services provided.  An induction and in-service training programme are in place to provide staff with appropriate knowledge and skills to deliver care.</w:t>
      </w:r>
    </w:p>
    <w:p w:rsidRPr="00A4268A">
      <w:pPr>
        <w:spacing w:before="240" w:line="276" w:lineRule="auto"/>
        <w:rPr>
          <w:rFonts w:eastAsia="Calibri"/>
        </w:rPr>
      </w:pPr>
      <w:r w:rsidRPr="00A4268A">
        <w:rPr>
          <w:rFonts w:eastAsia="Calibri"/>
        </w:rPr>
        <w:t xml:space="preserve">The service has addressed the two shortfalls identified from the previous certification audit around interRAI assessments and interventions. </w:t>
      </w:r>
    </w:p>
    <w:p w:rsidRPr="00A4268A">
      <w:pPr>
        <w:spacing w:before="240" w:line="276" w:lineRule="auto"/>
        <w:rPr>
          <w:rFonts w:eastAsia="Calibri"/>
        </w:rPr>
      </w:pPr>
      <w:r w:rsidRPr="00A4268A">
        <w:rPr>
          <w:rFonts w:eastAsia="Calibri"/>
        </w:rPr>
        <w:t xml:space="preserve">This surveillance audit identified an improvement required in relation to medication charts for respite care. </w:t>
      </w:r>
    </w:p>
    <w:p w:rsidRPr="00A4268A">
      <w:pPr>
        <w:spacing w:before="240" w:line="276" w:lineRule="auto"/>
        <w:rPr>
          <w:rFonts w:eastAsia="Calibri"/>
        </w:rPr>
      </w:pPr>
      <w:r w:rsidRPr="00A4268A">
        <w:rPr>
          <w:rFonts w:eastAsia="Calibri"/>
        </w:rPr>
        <w:t xml:space="preserve">The service has maintained a continuous improvement rating around the reduction of respiratory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village manager is responsible for the entire facility and a care centre manager is responsible for the day-to-day operations of the care facility.  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Assessments, resident care plans, and evaluations were completed by the registered nurses within the required timeframes.  Risk assessment tools and monitoring forms were available and implemented.  Resident care plans were individualised and included allied health professional involvement in resident care.   </w:t>
      </w:r>
    </w:p>
    <w:p w:rsidRPr="00A4268A" w:rsidP="00621629">
      <w:pPr>
        <w:spacing w:before="240" w:line="276" w:lineRule="auto"/>
        <w:rPr>
          <w:rFonts w:eastAsia="Calibri"/>
        </w:rPr>
      </w:pPr>
      <w:r w:rsidRPr="00A4268A">
        <w:rPr>
          <w:rFonts w:eastAsia="Calibri"/>
        </w:rPr>
        <w:t xml:space="preserve">Two recreational therapists coordinate an integrated activity programme.  The activities meet the individual recreational needs and preferences of the resident groups.  There are outings into the community and visiting guests/entertainers.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 planned maintenance programme is being implemented.  All electrical equipment is tested and tagged annually.  Preferred contractors for essential services are available 24/7.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No residents were using restraints or enablers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six residents (three rest home level of care and three hospital level of care) and family members, confirmed their understanding of the complaints process.  Six staff interviewed (three caregivers, one registered nurse (RN), one sous chef and one cook)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 register is maintained using VCare.  The village manager also retains a hard copy complaint register as a back-up.  Six complaints have been received in 2018 (year to date).  Complainants are informed about the role of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Two formal complaints around cares were selected for review.  Evidence was sighted to confirm that each complaint had been managed in a timely manner including acknowledgement, and a comprehensive investigation.  All six complaints were logged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linked to the quality and risk programme and are communicated to staff, evidenced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families including when an incident or care/health issues arises, evidenced in all 10 accident/incident reports that were randomly selected for review.  Interviews with four families (three with family at rest home level of care and one with family at hospital level of care)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agreement is in place with an external provider for interpreter and translation services.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Falls provides rest home and hospital levels of care in their care centre for up to 41 residents.  All of the rooms in the care centre are certified for dual purpose.  There are also 44 serviced apartments certified to provide rest home level care.  On the day of the audit, the care centre was full, with 41 residents in the care centre (16 residents at rest home level and 25 residents at hospital level).  Five rest home level residents and one hospital level resident were in the serviced apartments.  The hospital level resident had received dispensation from the Ministry of Health for hospital level of care until a bed becomes available in the care centre (dated 23 August 2018).  All residents were under the aged residential care contract (ARCC), with the exception of one private paying respite resident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Summerset Falls has a site-specific 2018 business plan that is reviewed regularly.  Goals are measurable and include initiatives and action plans.  Business goals are regularly reviewed and updated.</w:t>
            </w:r>
          </w:p>
          <w:p w:rsidR="00EB7645" w:rsidRPr="00BE00C7" w:rsidP="00BE00C7">
            <w:pPr>
              <w:pStyle w:val="OutcomeDescription"/>
              <w:spacing w:before="120" w:after="120"/>
              <w:rPr>
                <w:rFonts w:cs="Arial"/>
                <w:b w:val="0"/>
                <w:lang w:eastAsia="en-NZ"/>
              </w:rPr>
            </w:pPr>
            <w:r w:rsidRPr="00BE00C7">
              <w:rPr>
                <w:rFonts w:cs="Arial"/>
                <w:b w:val="0"/>
                <w:lang w:eastAsia="en-NZ"/>
              </w:rPr>
              <w:t>The experienced village manager has been in the role since April 2016.  The village manager is supported by a care centre manager/registered nurse (RN).  The care centre manager has been in the position for two years and has a background in aged care nursing.  A clinical nurse lead/RN assists the care centre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centre managers attend two-day organisational forums annually.  They have both attended at least eight hours of professional development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established through the Summerset head office.  Policies and procedures reflect evidence of regular reviews as per the document control schedule.  New and/or revised policies are made available for staff to read and sign that they have read and understand the changes.  The village manager and care centre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skin tears and pressure areas.  Data is collated and analysed to identify trends.  Residents/relatives surveys are completed each year with corrective actions implemented where areas are identified for improvements.  The last survey (November 2017) reflected improvements from the previous year around personal care, staff, activities and communication.  The overall rating of satisfaction was 97%.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developed where opportunities for improvements were identified following internal audits, and the recent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officer, and is supported by a health and safety team.  A contractor induction programme is in place.  Hazard identification forms and a hazard register are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This includes, (but is not limited to), the collection of adverse event data.  Immediate actions taken are documented on accident/incident reports, which are generated electronically on VCare (effective July 2018).  Each reported adverse event is reviewed and investigated by an RN (clinical events) or by the village manager.  If risks are identified, these are processed as hazards and are reported to the health and safety committee for evaluation at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care centre manager confirmed their awareness of statutory requirements in relation to essential notification.  This information is also provided by the Summerset organisation as reference material.  Examples were provided including reporting outbreaks to public health authorities and pressure injures (grade three, four and unstageable) to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Relevant checks are completed to validate the individual’s qualifications, experience and veracity.  Reference checks are completed before employment is offered.  Job descriptions are in place for all relevant positions that describe staff roles, responsibilities and accountabilities.  Five staff files (one RN and four caregivers) were reviewed and all had relevant documentation relating to employment.  Performance appraisals had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A list of current practising certificates is maintained.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being implemented.  Core competencies are completed, and a record of completion is maintained.  There is a minimum of one staff available at all times with a current certificate in CPR and first aid.  Six RNs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and skills mix policy is the documented rationale for determining staffing levels and skill mixes for safe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each work 40 hours per week (Monday to Friday) and are available on call for any emergency issues or clinical support.  A clinical nurse leader is available Sunday through Thursday.  She was on leave during this spot surveillance audit.</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 care centre was at full capacity with 41 residents.  Staffing included a minimum of one staff RN on the AM, PM and night shifts.  A further RN is rostered on the AM shifts with a full-time RN vacancy recently filled (effective 24 September 2018) to provide increased RN hours on the AM shifts.  Four long shift caregivers and one short shift caregiver cover the AM shifts, three long shift caregivers and one short shift caregiver cover the PM shift and two caregivers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44 beds approved for rest home level of care in the serviced apartments.  At the time of the audit, five rest home level and one hospital level resident were living in the serviced apartments.  Written dispensation had been received for the resident assessed at hospital level of care in the serviced apartments.  The second resident approved by the Ministry for hospital level of care in the service apartments has now moved to a bed in the care centre.  Note: both hospital level residents in the serviced apartments were residing in serviced apartments that were on the same physical level as the care centre.  Staffing levels in the serviced apartments includes two caregivers on the AM shift and one caregiver on the PM and night shifts.  Interviews with two caregivers who regularly work in the serviced apartments confirmed that they regularly check on the residents, in particular the hospital level resident, and that all of the residents are able to use their call bells.  The hospital level resident in the serviced apartment was interviewed and confirmed that she receives regular checks.  She had access to a call bell if assistance was needed.</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seven days a week.  One diversional therapist and one recreational therapist share activities cover,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confirmed that staff absences are filled.  The care centre manager reported that there are times that she uses agency staff to ensure that staff numbers are adequate to meet the needs of the residents.  This was recently needed during a norovirus outbreak in August.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in the care centre and caregivers in the serviced apartments are responsible for the administration of medications and have completed medication competencies and annual education.  Registered nurses have completed a syringe driver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medications and ‘as required’ medication are checked on delivery by an RN and are entered into the electronic medication system.  Any discrepancies are fed back to the supplying pharmacy.  There were no self-medicating residents.  All medications were stored correctly.  All eye drops had been dated on opening.  The medication fridge is monitored weekly.  All impress medication is checked regularly for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medication charts on the electronic medication system and corresponding medication administration sheets were reviewed.  There was no medication chart or script for the respite resident.  The medication charts reviewed had photograph identification and allergy status recorded.  Staff recorded the time, date and effectiveness of ‘as required’ medications.  All ‘as required’ medications had an indication for use.  All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on-site.  The service has a food control plan that was verified 24 May 2018.  The seasonal menu has been reviewed by a dietitian.  The menu meets the resident preferences and resident dietary requirements.  Dislikes are known and accommodated.  Special diets such as gluten free and diabetic desserts are provided.  Meals are delivered in a scan box to the care centre kitchenette where meals are served from the bain marie.  The food service staff serves the meals.  The chef receives a dietary profile for each resident and is notified of any changes including weight loss and provides smoothies and added calories such as cream/ice-cream to foods.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chiller temperatures are taken and recorded daily.  End cooked food temperatures, cooling and serving temperatures are taken and recorded daily.  All foods are stored correctly, and date labelled.  Cleaning schedules are maintained.  Staff were observed wearing correct personal protective clothing.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Contracted staff have food handling certificates and completed chemical safety training.  Residents have the opportunity to feedback on meals through direct feedback and resident meetings.  Residents and relatives commented positively on the food services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stated their relative’s needs are met and they are kept informed of any health changes.  There was documented evidence in the resident progress notes of family notification of any changes to health, including infections, accidents/incidents, medication changes, GP visits and family meetings.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five residents with wounds.  One chronic wound was linked to the long-term care plans.  There was one facility acquired stage three pressure injury.  There is access to wound nurse specialist advice and support at the DHB.  Adequate pressure injury resources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completed on the electronic resident system.  Worklogs entered onto the system alert staff of monitoring requirements and these are signed off as completed.  Registered nurses review the monitoring charts, which include pain monitoring, neurological observations, bowel monitoring, two hourly re-positioning and restraint/enablers monitoring.  Weight monitoring is completed monthly or more frequently for residents identified with unintentional weight loss.  Interventions have been implemented for one rest home and one hospital resident with unintentional weight loss.  Food and fluid intake monitoring had been completed and care plans updated to include interventions for weight loss.  The previous finding around interventions for weight loss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diversional therapist (Tuesday to Saturday) and one recreational therapist (Sunday and Monday) to implement the seven-day week integrated rest home and hospital programme.  Activities staff were not available for interviews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one month in advance and includes activities such as exercises, village walks, word games, bowls, colouring therapy, music, movies and happy hours.  For residents who choose not to join in activities or are unable to participate, there are pampering sessions and one-on-one time.  International days are celebrated and there is entertainment and community visitors including school children and pet therapy.  Regular church services are held on-site and there are chaplain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assessment and activity plan in place for long-term resident files reviewed.  The residents and relatives interviewed expressed satisfaction with the programme.  There are monthly resident meetings which provide an opportunity for residents to provide feedback and suggestions for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evaluated by the registered nurses within three weeks of admission.  There is evidence of resident and family involvement in the evaluation of the initial care plan and six-monthly care plan evaluations.  Multidisciplinary team reviews have input into the written evaluations, which document if the resident goals have been met or unmet.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 February 2019.  A full-time property manager and property assistant maintain a planned maintenance programme and attend to daily maintenance and repairs.  All electrical equipment is tested and tagged each year (22 May 2018).  Clinical equipment has had functional checks/calibration annually.  Hot water temperatures are tested and recorded monthly with readings below 45 degrees Celsius.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Serviced apartments are on the ground and first floor.  Corridors are wide in all areas to allow residents to pass each other safely.  There is safe access to all communal areas and outdoor areas.  There is an outdoor balcony on the first floor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reported that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into the electronic system.  The infection control coordinator (registered nurse) provides infection control data, trends and relevant information to the infection control committee who meet quarterly.  The monthly infection events, trends and analysis are reviewed by management, and data is forwarded to head office for benchmarking.  Areas for improvement are identified corrective actions developed and followed-up.  Infection control audits are completed, and corrective actions signed off.  Surveillance results are used to identify infection control activities and education needs within the facility.  The service identified an opportunity to reduce respiratory tract infections following a respiratory tract outbreak in July 2017.  The relevant authorities had been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The restraint coordinator is the clinical nurse lead/RN.  She was not available on the day of the audit.  There were no residents using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mandatory training around restraint minimisation that includes annual competency assessments.  Restraint minimisation training begins during care staff orientation.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4"/>
        <w:gridCol w:w="1280"/>
        <w:gridCol w:w="5436"/>
        <w:gridCol w:w="3132"/>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medication charts of long-term residents on the electronic medication system met legislative prescribing requirements.  The signing charts corresponded with the prescription.  The GP had reviewed the medication charts three monthly.  There was a blister pack of medications and a signing sheet in place for the respite care resident, however there was no medication chart or script in place for the administration of medications.  A pharmacy paper-based script was obtained on the day of audit; therefore, the risk was reduced from high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medication chart or pharmacy script in place for the respite care resident.  Medications were being administered from a blister pack and signed for on a paper-based signing sheet.  A pharmacy paper-based script was obtained on the day of audit; therefore, the risk was reduced from high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respite care residents have a medication chart in place for the administering of medications.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8"/>
        <w:gridCol w:w="1280"/>
        <w:gridCol w:w="2228"/>
        <w:gridCol w:w="84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area for improvement around reducing the rate of respiratory tract infections after a respiratory tract outbreak in 2017.  An action plan included a focus on the influenza campaign to encourage staff to have the vaccine for the prevention of the spread of infection.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to reduce respiratory infections over the winter season for 2018.  The action plan included encouraging staff to participate in the influenza vaccination programme through education and information.  The infection control public noticeboard had eye catching posters and relevant information.  Information on the flu vaccine were posted in different languages so as to reach all staff including community visitors.  The low number of staff receiving flu vaccines (12) in 2017 was also due to staff being unable to attend the set times (due to their schedules) for vaccinations in the care centre.  The infection control coordinator arranged for “walk-ins” at the medical centre or pharmacy.  The action plan has been successful in reducing the spread of respiratory tract infections.  There were 98% of residents vaccinated and 30 staff in 2018.  The rate of respiratory tract infections has remained below the organisational KPI for respiratory infections at four infections for 2018 to date.  The service has maintained a continuous improvement around infection surveillance.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Falls</w:t>
    </w:r>
    <w:bookmarkEnd w:id="58"/>
    <w:r>
      <w:rPr>
        <w:rFonts w:cs="Arial"/>
        <w:sz w:val="16"/>
        <w:szCs w:val="20"/>
      </w:rPr>
      <w:tab/>
      <w:t xml:space="preserve">Date of Audit: </w:t>
    </w:r>
    <w:bookmarkStart w:id="59" w:name="AuditStartDate1"/>
    <w:r>
      <w:rPr>
        <w:rFonts w:cs="Arial"/>
        <w:sz w:val="16"/>
        <w:szCs w:val="20"/>
      </w:rPr>
      <w:t>7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