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Royal Heights Care Limited - Royal Heights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Royal Heights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Royal Heights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September 2018</w:t>
      </w:r>
      <w:bookmarkEnd w:id="7"/>
      <w:r w:rsidRPr="009418D4">
        <w:rPr>
          <w:rFonts w:cs="Arial"/>
        </w:rPr>
        <w:tab/>
        <w:t xml:space="preserve">End date: </w:t>
      </w:r>
      <w:bookmarkStart w:id="8" w:name="AuditEndDate"/>
      <w:r w:rsidR="00A4268A">
        <w:rPr>
          <w:rFonts w:cs="Arial"/>
        </w:rPr>
        <w:t>13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Royal Heights Rest Home provides rest home level care for up to 45 residents. The service is privately operated and managed by a general manager who oversees all service provision and a nurse manager who holds a current nursing practising certificate. The nurse manager is supported by a quality assurance manager. There have been no changes to the service or facilities since the previous audit. Residents and the family member interviewed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identified no areas for improvement. There were no areas identified as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 service has access to the district health board translation and interpretation service.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was regular and effective. Experienced and suitably qualified people manage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and the general practitioner assess residents’ needs on admission. Lifestyle care plans are individualised based on a comprehensive range of information and accommodate any new problem that might arise. Short term care plans are developed and implemented as needed. Residents’ records sighted demonstrated that the care provided and needs of residents are reviewed and evaluated on a regular and timely basis. Residents are referred or transferred to other health services as and when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residents are encouraged to maintain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environment. No enablers or restraints were in use at the time of audit.  Policy contains a comprehensive assessment, approval and monitoring process should restraint be implemented. Policy identifies that the use of enablers is voluntary for the safety of residents in response to individual requests. Staff demonstrated a sound knowledge and understanding of the restraint and enabler processes and annual education is undertaken.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Staff demonstrated good principles and practice around infection control which is guided by relevant policies and supported with regular education. Aged care surveillance is undertaken,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Forms are displayed and available beside the residents’ notice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nine complaints have been received over the past year and that actions taken, through to an agreed resolution, are documented and completed within the timeframes required.  Action plans showed any required follow up and improvements have been made where possible. The nurse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their/relatives health status and were advised in a timely manner about any incidents or accidents. This was supported in the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 annual and longer term objectives and the associated operational plans. A sample of monthly and annual quality review reports which are sent to the general manager who then reports to the owner/directors, showed adequate information to monitor performance is reported including financial performance, quality data results and outcomes, staffing, education, emerging risks and issues. The nurse manager and quality assurance manager stated there is excellent communication between owner/directors and management. The general manager visits the facility at least twice a week and the owner/directors also visit the facility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service is managed by a general manager who has been involved in the business since 1992 and the nurse manager is responsible for day to day clinical care of residents. She has been in the role since 1997 and holds a current annual practising certificate as a registered nurse. The quality assurance manager has worked at the facility since 2003 and in her current role since 2009. All members of the management team hold relevant qualifications. Responsibilities and accountabilities are defined in a job description and individual employment agreement.  Members of the management team confirmed their knowledge of the sector, regulatory and reporting requirements and maintains currency through ongoing education and training both on and off-site.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Waitemata District Health Board for rest home level care which include respite care and chronic health conditions. All 43 residents receiving care at the time of the audit were receiving services under the Age Related Residential Care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under the Long Term Services Chronic Health Care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which is fully implemented. This includes management of incidents and complaints, audit activities, a regular patient satisfaction survey, monitoring of outcomes, and clinical incidents including infections, falls, wounds and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meetings, staff meetings and resident meetings as appropriate. Quality data is evaluated at management level.  If the quality data collected identifies a negative trend a detailed corrective action is put in place to address the issue and staff are informed during handover, the residents and families are informed as appropriate and the quality assurance manager monitors the outcome. Corrective actions are signed off when completed. This process is systematically documented and shown in resident and staff meeting minutes.   The information is used to improve services and resident satisfaction where possible. Staff reported their involvement in quality and risk management activities through audit activities and implementation of corrective actions. Staff, residents and family are asked for their input for corrective action planning and this was confirmed in resident meeting minutes sighted and during resident and family interviews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corrective actions included the internal cleaning audit which gained a 69% rating. The follow up included staff education, review of documented procedures and the introduction of a staff signing form for daily cleaning duties. The follow up audit taken after two months showed a 93% rating was gained. Following the introduction of the food safety plan, the facility has introduced a computerised quality system specifically for kitchen use only, to show that all requirements are being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(September 2017) showed that residents would like more outings and activities. This was followed up by the service who have introduced regular weekend activities to the calendar, the outcome will be measures in the upcoming resident satisfaction survey findings. The residents interviewed on the day of audit stated they were very happy with the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managers are familiar with the Health and Safety at Work Act (2015) and the service has implemented requirements.  The health and safety committee consisting of a range of staff from across all services monitor and report on hazards. Regular reporting is undertaken, and a full annual report is developed and sent to the owner/directors.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all members of management and a monthly report is sent to the owner/directors. The monthly report identifies trends against previously collected data, the type of incident, time of day and where the incident occurred. The recently analysed data is discussed at shift handovers and stall meetings. Corrective actions are put in place and these are shown on the resident’s care plan and on documentation sighted. Short term care plans are put in place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essential notification reporting requirements, including for pressure injuries.  They advised there has been one section 31 form completed and sent to the Ministry of Health (27 July 2017) and to the DHB giving notifications of a significant event. This related to an issue with the cold chain not being maintained when an outside agency was carrying out influenza immunisations. This was an issue for many facilities at the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police investigations, coroner’s inquests or issues based audits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then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In-service training and education is presented at least monthly and guest presenters have included a dietitian, physiotherapist and gerontology nurse specialist from the WDHB. Care staff have either completed or commenced a New Zealand Qualification Authority education programme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trained and competent registered nurses who are maintaining their annual competency requirements to undertake interRAI assessments. Records of this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Staffing levels meet the interRAI acuity level report findings.  Observations and review of a four-week roster cycle confirmed adequate staff cover has been provided, with staff replaced in any unplanned absence.  At least one staff member on duty has a current first aid certificate. There is registered nurse coverage on all morning shift.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works 9am to 3pm five days a week. The nurse manager works eight hours five days a week. The quality manager works 8am to 4pm Monday to Friday. A stock controller works eight hours per week and the administration assistant works 9am to 3pm two days a week.</w:t>
            </w:r>
          </w:p>
          <w:p w:rsidR="00EB7645" w:rsidRPr="00BE00C7" w:rsidP="00BE00C7">
            <w:pPr>
              <w:pStyle w:val="OutcomeDescription"/>
              <w:spacing w:before="120" w:after="120"/>
              <w:rPr>
                <w:rFonts w:cs="Arial"/>
                <w:b w:val="0"/>
                <w:lang w:eastAsia="en-NZ"/>
              </w:rPr>
            </w:pPr>
            <w:r w:rsidRPr="00BE00C7">
              <w:rPr>
                <w:rFonts w:cs="Arial"/>
                <w:b w:val="0"/>
                <w:lang w:eastAsia="en-NZ"/>
              </w:rPr>
              <w:t>A cook works 8am to 1pm with kitchen hand assistants working 7am to 1.30pm, 4.30pm to 8pm and 3pm to 7pm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Dedicated cleaning and laundry staff work eight hours Monday to Friday and four hours Saturday and Sunday. Additional cleaning staff undertake spring cleaning two days a week from 9am to 6pm.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A safe system for medicine management using an electronic system was observed on the day of the audit. The care staff observed demonstrated good knowledge and had a clear understanding of their roles and responsibilities related to each stage of medicine management. All staff who administer medicines are competent to perform the function they manage. There are fourteen care staff with medication competencies. All competencies can be verified.  There is key pad access to the medication room.  The temperature of the medication fridge and medication room are closely monitored. Any variance alarms to the pharmacy direct and to the general manager.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nurses check all medications against the prescriptions. All medications sighted were within current use by dates. Clinical pharmacist input is provided on request and six monthly audits are performed. A stamp is used for the stock reviews six monthly and the weekly medication stock checks for the controlled drugs. These medications are only supplied from the pharmacy on a weekly basis and are stored appropriately to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observed, and the GP interviewed is pleased with the electronic system and is able to make relevant changes from the medical practice which is advantageous. The required three monthly GP review of all medications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Appropriate processes were in place to ensure this is managed if needed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This has reduced significantly with the introduction of the electronic medication system now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kitchen team and is line with recognised nutritional guidelines for older people. The menu has been developed and implemented to cover summer and winter patterns and has been reviewed by a contracted dietitian within the last two years. The last review date was recorded as the 26 July 2018. The dietitian routinely visits three monthly and at each visit reviews approximately eight residents’ nutritional profiles, especially those residents with erratic blood sugar levels, decreased weight loss, increased frailty and those with poor appetite. Recommendations made at each visit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was issued 25 June 2018 and is due to next expire 26 June 2019. Meat temperatures, cleaning tasks per shift and who is responsible, pest control, staff sickness, maintenance and all fridge/freezer temperature monitoring is being upgraded presently onto the new electronic programme installed. There are inbuilt processes for temperature monitoring of goods reports and summaries can be printed off. All food stuffs stored are rotated.</w:t>
            </w:r>
          </w:p>
          <w:p w:rsidR="00EB7645" w:rsidRPr="00BE00C7" w:rsidP="00BE00C7">
            <w:pPr>
              <w:pStyle w:val="OutcomeDescription"/>
              <w:spacing w:before="120" w:after="120"/>
              <w:rPr>
                <w:rFonts w:cs="Arial"/>
                <w:b w:val="0"/>
                <w:lang w:eastAsia="en-NZ"/>
              </w:rPr>
            </w:pPr>
            <w:r w:rsidRPr="00BE00C7">
              <w:rPr>
                <w:rFonts w:cs="Arial"/>
                <w:b w:val="0"/>
                <w:lang w:eastAsia="en-NZ"/>
              </w:rPr>
              <w:t>The dietary requirements, likes and dislikes and/or any special diets are established on admission when the registered nurse completes the nutritional profile, as was evident in each resident’s record reviewed. A copy is provided to the kitchen staff.</w:t>
            </w:r>
          </w:p>
          <w:p w:rsidR="00EB7645" w:rsidRPr="00BE00C7" w:rsidP="00BE00C7">
            <w:pPr>
              <w:pStyle w:val="OutcomeDescription"/>
              <w:spacing w:before="120" w:after="120"/>
              <w:rPr>
                <w:rFonts w:cs="Arial"/>
                <w:b w:val="0"/>
                <w:lang w:eastAsia="en-NZ"/>
              </w:rPr>
            </w:pPr>
            <w:r w:rsidRPr="00BE00C7">
              <w:rPr>
                <w:rFonts w:cs="Arial"/>
                <w:b w:val="0"/>
                <w:lang w:eastAsia="en-NZ"/>
              </w:rPr>
              <w:t>The kitchen is clean and tidy and a whiteboard was sighted with all special needs documented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residents’ satisfaction with meals was verified by resident and family interviews, satisfaction surveys and residents’ meeting minutes. Residents were seen to be given sufficient time to eat their meal in the dining room in an unhurried manner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meeting their identified needs and goals. The attention to meeting the diverse range of resident’s individualised needs was evident in all areas of service provision. The GP interviewed, verified that medical input is sought in a timely manner, that medical orders are followed, and care is to a high standard. The care staff confirmed that care was provided as outlined in the documentation sighted. A range of equipment and resources was available suited to rest home level care and in accordance with residents’ identified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The activities coordinator has been in this role for four years and works five hours a day (9am to 12md and 1pm to 3pm) Monday to Friday. A social assessment and history is undertaken on admission to ascertain a residents’ needs, interests, abilities and social requirements. Activities assessments are regularly reviewed to help formulate an activities programme that is meaningful to the residents. The resident’s activity needs are evaluated six monthly when the interRAI assessment and lifestyle care plan is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reviewed reflects the residents’ objectives, ordinary patterns of life and includes normal community activities as much as possible. Individual, group activities and regular planned events are reviewed to help develop and implement a programme that is meaningful to the residents. Residents and families/whanau are involved in evaluating and improving the programme through residents’ meetings held three monthly and resident satisfaction surveys. Residents interviewed enjoyed the programme and the variety of activities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records reviewed. If any changes occur, it is noted and is reported to the registered nurse or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lifestyle care plan evaluations occur every six months in conjunction with the six monthly interRAI reassessment or as residents’ needs change. Where progress is different than expected, the service responds by initiating changes to the lifestyle care plan.  Examples of short term care plans being consistently reviewed and progress evaluated as clinically indicated were noted for wounds, urinary tract infections and other problems that arise from time to time. When necessary and for unresolved problems, the long term lifestyle care plans are added to and updated to guide the care staff. Residents and families/whanau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28 October 2018) is publicly displayed.  There have been no changes to the facility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residential care facilities and includes infections of the urinary tract, soft tissue, fungal the upper and lower respiratory tract, scabies, wound, gastrointestinal and eye infections. There is a designated registered nurse who is the infection prevention and control coordinator for this service. The infection prevention and control nurse reviews all reported infections and these are documented. Any new infections and any required management plan is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quality and staff meetings and at staff handovers between shifts. Graphs are produced that identify trends for the current year, and comparisons against previous years and this is reported to the nurse manager. The infection rate is low at this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facility is restraint free with no enablers or restraints in use.  The restraint coordinator provides support and oversight for enabler and restraint management in the facility should it be required. This is supported by meeting minutes sighted, the annual restraint audit carried out in January each year and during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restraint would only be used as a last resort when all alternatives have been explored.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Royal Heights Care Limited - Royal Heights Rest Home</w:t>
    </w:r>
    <w:bookmarkEnd w:id="58"/>
    <w:r>
      <w:rPr>
        <w:rFonts w:cs="Arial"/>
        <w:sz w:val="16"/>
        <w:szCs w:val="20"/>
      </w:rPr>
      <w:tab/>
      <w:t xml:space="preserve">Date of Audit: </w:t>
    </w:r>
    <w:bookmarkStart w:id="59" w:name="AuditStartDate1"/>
    <w:r>
      <w:rPr>
        <w:rFonts w:cs="Arial"/>
        <w:sz w:val="16"/>
        <w:szCs w:val="20"/>
      </w:rPr>
      <w:t>13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