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Mateus Enterprises Limited - Seaview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Mateus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Seaview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2018</w:t>
      </w:r>
      <w:bookmarkEnd w:id="7"/>
      <w:r w:rsidRPr="009418D4">
        <w:rPr>
          <w:rFonts w:cs="Arial"/>
        </w:rPr>
        <w:tab/>
        <w:t xml:space="preserve">End date: </w:t>
      </w:r>
      <w:bookmarkStart w:id="8" w:name="AuditEndDate"/>
      <w:r w:rsidR="00A4268A">
        <w:rPr>
          <w:rFonts w:cs="Arial"/>
        </w:rPr>
        <w:t>7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Mateus Enterprises Ltd, trading as Seaview Home, provides rest home level care for up to 28 residents. Short stay /respite and day programme attendance can also be provided subject to bed availability. Day to day operations and governance is provided by two directors, one of whom is the designated clinical manager (CM) and the other oversees the building, grounds, equipment and procurement. </w:t>
      </w:r>
    </w:p>
    <w:p w:rsidRPr="00A4268A">
      <w:pPr>
        <w:spacing w:before="240" w:line="276" w:lineRule="auto"/>
        <w:rPr>
          <w:rFonts w:eastAsia="Calibri"/>
        </w:rPr>
      </w:pPr>
      <w:r w:rsidRPr="00A4268A">
        <w:rPr>
          <w:rFonts w:eastAsia="Calibri"/>
        </w:rPr>
        <w:t xml:space="preserve">There have been no significant changes to the service since the previous surveillance audit in 2017.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Nelson Marlborough district health board (DHB). The audit process included review of policies and procedures, review of residents’ and staff files, observations and interviews with residents, family members, the directors, staff, a visiting district nurse and a general practitioner (GP). The GP, visiting nurse, residents and families spoke positively about the care provided.</w:t>
      </w:r>
    </w:p>
    <w:p w:rsidRPr="00A4268A">
      <w:pPr>
        <w:spacing w:before="240" w:line="276" w:lineRule="auto"/>
        <w:rPr>
          <w:rFonts w:eastAsia="Calibri"/>
        </w:rPr>
      </w:pPr>
      <w:r w:rsidRPr="00A4268A">
        <w:rPr>
          <w:rFonts w:eastAsia="Calibri"/>
        </w:rPr>
        <w:t>This audit identified three areas requiring improvement. These are related to storage of food items, the building warrant of fitness and the security of the building.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family/whanau on admission. Their privacy, independence and personal safety is protected. Care and support is provided in a manner which recognises the residents' culture, values and beliefs. Residents` who identify as Maori will have their needs met in a manner that respects their cultural values and beliefs. Care will be guided by a Maori health care plan and other related policies. There was no evidence of abuse, neglect or discrimination and staff understood and implemented related policies. Professional boundaries are understood by staff and maintained. Service delivery is based on good practice principles. </w:t>
      </w:r>
    </w:p>
    <w:p w:rsidRPr="00A4268A">
      <w:pPr>
        <w:spacing w:before="240" w:line="276" w:lineRule="auto"/>
        <w:rPr>
          <w:rFonts w:eastAsia="Calibri"/>
        </w:rPr>
      </w:pPr>
      <w:r w:rsidRPr="00A4268A">
        <w:rPr>
          <w:rFonts w:eastAsia="Calibri"/>
        </w:rPr>
        <w:t>Communication is open and resident choices are recorded and acted upon. Adequately documented processes are in place for informed consent. Residents and family/whanau are assisted and encouraged to formulate advanced directives. Advocacy information is available for residents and family/whanau. Links with family/whanau and the community are encouraged and supported by the service provider.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annual strategic plan describes the scope, direction, goals, values and mission statement of the organisation. The directors and a small senior management team are monitoring all aspects of the services provided. The director/clinical manager has been the role since 1996 and is an experienced registered nurse who is suitably qualified to manage an aged care service.  </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(RN) and clinical manager (CM) are responsible for the development of care plans in consultation with staff and family members’ representatives. Care plans and assessments are developed and evaluated within the required time frames. Short term care plans are developed for any acute needs as required.</w:t>
      </w:r>
    </w:p>
    <w:p w:rsidRPr="00A4268A" w:rsidP="00621629">
      <w:pPr>
        <w:spacing w:before="240" w:line="276" w:lineRule="auto"/>
        <w:rPr>
          <w:rFonts w:eastAsia="Calibri"/>
        </w:rPr>
      </w:pPr>
      <w:r w:rsidRPr="00A4268A">
        <w:rPr>
          <w:rFonts w:eastAsia="Calibri"/>
        </w:rPr>
        <w:t>Planned activities are appropriate for the residents’ assessed needs and abilities. Residents and Family/whanau interviewed expressed satisfaction with the activities provided by the activity coordinators.</w:t>
      </w:r>
    </w:p>
    <w:p w:rsidRPr="00A4268A" w:rsidP="00621629">
      <w:pPr>
        <w:spacing w:before="240" w:line="276" w:lineRule="auto"/>
        <w:rPr>
          <w:rFonts w:eastAsia="Calibri"/>
        </w:rPr>
      </w:pPr>
      <w:r w:rsidRPr="00A4268A">
        <w:rPr>
          <w:rFonts w:eastAsia="Calibri"/>
        </w:rPr>
        <w:t>The medication management system meets the required legislation and guidelines. Medication is administered by staff with current medication competencies. The organisation uses an electronic system in prescribing, dispensing and administration of medications. Three monthly reviews are completed by the attending general practitioners (GPs.). Residents are provided with nutritious meals that cater to their preferences and dietary requirements.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Electrical equipment is tested as required. Communal and individual spaces are maintained at a comfortable temperature. External areas are accessible and safe for residents’ use.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Seaview Home has a philosophy and practice of no restraint. There were no restraints in use. On the days of audit there were three enablers (bed levers) in use to assist residents to sit up in bed. These were consented to by the residents using them. .Policies and procedures meet the requirements if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(ICC) is responsible for co-ordinating education and training of staff. Documentation evidenced that relevant infection control education is provided to staff. Infection data is collated monthly, analysed and reported during staff and quality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3"/>
        <w:gridCol w:w="1280"/>
        <w:gridCol w:w="92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knowledge of the Code of Health and Disability Services Consumers` Rights (the Code). The Code is included in staff orientation and in the staff training education programmes. On the days of the audit, staff demonstrated knowledge of the Code when interacting with residents. The residents and family/whanau reported that staff respects their rights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The CM and RN reported that informed consent is discussed and recorded at the time the resident is admitted to the facility. The policy references Rights 5, 6 and 7 of the Code and the process for determining competency and advanced directives. The residents' files sampled had the required consent forms signed by the resident, or where appropriate, signed by the enduring power of attorney (EPOA). The files contained copies of any advance care planning and the residents’ wishes for end of life care. Staff acknowledged the residents’ right to make choices based on information presented to them. Residents interviewed confirmed that they were provided with day to day choices and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appropriate policies regarding advocacy/support services in place that specify advocacy processes and how to access independent advocates. 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 / support is provided annually and staff demonstrated understanding of how residents can access advocacy/support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said they felt comfortable and wouldn’t hesitate to raise a concern if they had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recorded a total of two complaints received since 2015 including one in 2017. This has been acknowledged in writing, and investigated within the timeframes stated in policy. Follow up correspondence was not responded to by the complainant and the matter is now closed. </w:t>
            </w:r>
          </w:p>
          <w:p w:rsidR="00EB7645" w:rsidRPr="00BE00C7" w:rsidP="00BE00C7">
            <w:pPr>
              <w:pStyle w:val="OutcomeDescription"/>
              <w:spacing w:before="120" w:after="120"/>
              <w:rPr>
                <w:rFonts w:cs="Arial"/>
                <w:b w:val="0"/>
                <w:lang w:eastAsia="en-NZ"/>
              </w:rPr>
            </w:pPr>
            <w:r w:rsidRPr="00BE00C7">
              <w:rPr>
                <w:rFonts w:cs="Arial"/>
                <w:b w:val="0"/>
                <w:lang w:eastAsia="en-NZ"/>
              </w:rPr>
              <w:t>The director/nurse manager is responsible for complaints management and follow up. All staff interviewed confirmed a sound understanding of the complaint process and what actions are required. There have been no complaints to the Health and Disability Commissioner (HDC) nor any requests for advocacy services to provide support in this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about the Code, advocacy services and the complaints process are provided on admission and displayed at the facility. The CM reported that an advocate visits the service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were aware of their rights and confirmed that information was provided to them during the admission process. Seaview home information pack was sighted and outlines the services offered. Signed residents’ agreements were sighted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explains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needs, cultural, religious beliefs and values. Rooms are single and double occupancy and maintain physical, visual and auditory privacy. Personal property is maintained in a secure manner. Policies and procedures on abuse and neglect include definitions and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perspective on health is documented and includes Maori models of Health and barriers to access. Terminal care and death of the Maori resident is included. Cultural needs are included in the care plans (if identified). There is access to cultural advice, resources and documented procedures to ensure recognition of Maori values and beliefs. The organisation maintains contact with a local Maori provider for advice and support if required. Cultural safety training is provided to all staff. The Code is available in Maori and satisfaction surveys include cultural and spiritual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management plan is developed to ensure that care and services are delivered in a culturally and/or spiritually sensitive manner in accordance with the Treaty of Waitangi and/or other protocols/guidelines as recognised by the resident. Residents’ values and beliefs are discussed and incorporated into the care plan.  Residents and family/whanau members interviewed confirmed they are encouraged to be involved in the development of the long-term care plan. In interviews conducted, staff demonstrated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sighted define processes for providing an environment that is free from discrimination, coercion, harassment, sexual, financial or other exploitation. The staff code of conduct and professional behaviour is included in the employment and orientation process.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family/whanau, and observation during the audit, indicated that residents are free of any form of coercion or discrimination. In interview, the GP confirmed the provision of consistent and respectful care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CM and RN in interviews conducted, demonstrated awareness of the importance of maintaining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staff receive a range of opportunities which promote good practice within the facility. Staff reported that they were satisfied with the relevance of the education provided and were able to explain how they maintain good practice. Policies and procedures are linked to evidence-based practice. There are regular visits by the GPs and allied health providers as required. The CM and RN are available and accessible to care staff for clinical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disclosure policy and procedures are in place to ensure staff maintain open, transparent communication with residents and their family/whanau. Documenting of open disclosure following incidents/accidents was evident. The service has access to interpreting services for the residents. Policies and procedures are in place if the interpreter services are needed to be accessed. Families reported they are informed of any events or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which is reviewed annually, outlines the purpose, values, scope, direction and goals of the organisation. The documents describe annual and longer-term objectives and the associated operational plans. A sample of directors/management meeting minutes for 2017-2018 confirmed regular discussions and actions to monitor performance for example, occupancy, human resources (HR), service performance, and any emerging risks and issues. Interview with both director/operators and documents reviewed verified effective methods for ensuring services are provided in ways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director/clinical manager is a registered nurse (RN) with a current practicing certificate and has been in the role for 22years. This person demonstrated knowledge of the sector, regulatory and reporting requirements and maintains currency through ongoing professional development in nursing and at least eight hours of education per annum as required in the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Nelson Marlborough DHB, for rest home level care and respite. There is also a contract for one person who is under the age of 65 years. This resident’s records were included in the audit sample. There were no people in the facility for respite care on the days of audit. The facility has a maximum capacity of 28 beds. On the days of audit all beds were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full time RN carries out all the required duties under delegated authority when the director/nurse manager is absent. Another RN who is experienced in the sector, is also employed on a casual basis and available when needed for planned absences. Staff reported this arrangement is seldom needed but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Home has established quality and risk management systems for determining compliance and where improvement is needed. Service delivery monitoring includes collation and analysis of incidents/accidents, complaints and infections, and the outcomes of internal audits. Resident and family satisfaction surveys are completed annually. The most recent family survey produced a high (98.6%) rate of return with overall high satisfaction. Two comments seeking minor changes had been responded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from the directors/management meetings and monthly staff meetings reviewed, confirmed that service delivery information is reported and discussed. Staff reported their involvement in quality and risk management activities through adapting their practices and via internal audit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service shortfalls are identified (from feedback or internal audits) relevant corrective actions are decided and implemented. Corrective or preventative actions were also noted on incident forms. Evidence that these matters are clearly communicated back to staff was confirmed by staff interview who said they receive memos or verbally at handover or general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directors described their processes for the identification, monitoring, review and reporting of risks and development of mitigation strategies. Both are familiar with the Health and Safety at Work Act (2015) and its requirements. A senior carer interviewed, is the nominated health and safety officer and has achieved stage one education relative to the role. This person manages the hazard register, conducts environmental inspections, provides education and mentoring about safe lifting/manual handling and inducts all new staff to the health and safety systems in place. There have been no staff injuries since the previous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accident/incident forms. A sample of forms from 2017-2018 were consistent in clearly describing and detailing the incident and recording who had been notified. Each falls event had attached records of post fall neurological observations.  The director/clinical manager reviews all incidents, investigates where necessary and documents preventative actions which are followed-up. The director/ clinical manager demonstrated understanding about essential notification reporting requirements, including for pressure injuries.  This person advised there have been no events requiring notification to the Ministry of Health,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Copies of practising certificates for the registered health practitioners providing services at Seaview Home are on file. A sample of staff records reviewed, confirmed the organisation’s policies are being consistently implemented and records are maintained. The office administrator routinely reviews personnel records to ensure compliance with policy and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occurs each month. These include mandatory training requirements such as fire drills, first aid and medicines competency for those who administer medicines and other education to meet the requirements of the provider’s agreement with the DHB. A majority of carers have educational achievements related to care of older people. The staff records reviewed demonstrated attendance at ongoing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who are trained and are maintaining their annual competency requirements to undertake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two-week roster cycle confirmed more than adequate staff cover has been provided, with staff replaced in any unplanned absence.  All staff have a current first aid certificate. The directors and care staff interviewed stated that staffing levels are adjusted to meet the changing needs of residents.  There is an afterhours on call roster shared by the two RNs, with staff reporting that good access to advice is available when needed.  Care staff reported there were adequate staff available to complete the work allocated to them.  The residents and family interviewed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entered into the files on admission by the CM or RN. A register is kept for current and past records. Resident information is stored securely in the nurses’ station. Review of resident records indicated they include reports from all health professionals. Daily progress notes are maintained, and records are integrated. Entries are legible, dated, signed and designated. Archived records are stored for 10 years in a secure and safe manner, these are retrievable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Seaview Home’s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were signed on entry. The admission agreement clearly outlines services provided as part of the agreement to entry. Relatives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and InterRAI transfer form are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The organisation uses the electronic system for e-prescribing, ordering, dispensing and administration. The e-prescribing electronic system is accessed by use of individual passwords and generic facility log in. Medication entries complied with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a safe and secure way in the trolley and locked cupboards. Medication reconciliation is conducted by the CM or RN when the resident is transferred back to service. All medications are reviewed every three months and as required by the GPs. Allergies are clearly indicated, and photos uploaded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RN was observed administering medicines following the required medication protocol guidelines and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is current and correct. Weekly and six-monthly stock takes are conducted and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at the time of the audit and assessed as competent. Medications are stored in a lockable container not accessible to other residents. Records of administration are maintained. A self-administration medication policy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cook with input from a small kitchen team and is in line with recognised nutritional guidelines for older people.  The menu follows summer and winter patterns and has been reviewed by a qualified dietitian in April this year. Any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however there is a finding related to storage. The service has submitted their food control plan to the local council on 14 June 2018.  Food temperatures, including for high risk items, are monitored appropriately and recorded as part of the plan. Kitchen staff have obtained safe food handling qualifications.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There is no one on site who requires assistance with eating.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reported that all consumers who are declined entry are recorded on the pre-enquiry form. When a resident is declined entry, relatives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residents and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short-term care plans for acute needs. Goals are specific, realistic, measurable and clearly documented.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Adequate clinical supplies were sighted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The activity coordinator develops the programme in consultation with the CM who helps with activities at times. The service is in the process of recruiting an extra part time activity coordinator to co-share the workload. The activities programme covers physical, social, recreational, emotional and cultural needs of the residents and including those under 65. Activities resource materials are accessible for staff to utilise. The activities coordinator reported that they modify activities based on the resident’s response, interests,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and going offsite with family/friends. There are planned activities and community connections that are suitable for the residents. The residents and relatives interviewed reported overall satisfaction with the level and variety of activities provided. Residents’ survey on the activities programme is conducted twice a year and any feedback from residents and family/whanau is acted upon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six monthly and updated when there are any changes. Family/whanau and staff are consulted during care plan review process.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 and family/whanau are kept informed of the referrals made by the service. All referrals are facilitated by the nursing staff or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chemicals/cleaning products and provide training for staff on new chemicals. All staff who handle chemicals have attended chemical training.  Material safety data sheets were available where chemicals are stored and staff interviewed knew what to do should any chemical spill/event occur.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expired on 01 July 2018. There is a requirement in 1.4.2.1 related to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Tasks scheduled in the building maintenance programme are carried out at regular intervals. The testing and tagging of electrical equipment and calibration of bio medical equipment is current as confirmed in documentation reviewed, interviews with the director, the health and safety officer and on-site visual inspections.  Efforts are made to ensure the environment is hazard free, that residents are safe and independence is promoted. External areas are safely maintained and are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They said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adequate number of accessible bathroom and toilet amenities which are located in each wing of the facility, and are in close proximity to residents’ bedrooms.  All bedrooms have a washbasin with hot and cold running water. Hot water temperature is regulated by tempering valves and monitoring of the temperatures at the tap is carried out monthly. The temperature records sighted show hot water is delivered within a safe range of temperatures. Residents interviewed were very happy with the provision, cleanliness of and access to ablution areas.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One bedroom is shared by a couple, all others are single occupation. Rooms are personalised with furnishings, photos and other personal items displayed. Each room is unique in its size and shape and can easily accommodate a bed, seating and other furniture. There are additional rooms and spaces for storage of mobility aids, wheel chairs and mobility scooters. Family and residents expressed satisfaction with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is a small rest home with a spacious and welcoming communal lounge and a separate dining room for residents situated centrally and within easy walking distance from residents’ rooms.  The lounge is used for activities and has varied seating configurations if someone doesn’t want to participate in the programme. There is a small library and telephone space. All residents can easily access their rooms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on each shift provide the laundry services. Staff interviewed about laundry demonstrated good knowledge of laundry processes, dirty/clean flow and handling of soiled linen. Residents interviewed reported the laundry is managed well and that their clothes are returned in a timely manner. A new industrial washing machine and dryer have recently been installed. One cleaner is employed for four and a half hours per day, five days a week. This person changes each resident’s bed linen once a week and stated there is sufficient time allocated for completing daily/weekly tasks.  The care staff carry out cleaning tasks such as rubbish removal, light dusting and bathroom cleaning on the weekend. All staff have attended training in the safe handling of the chemicals on site and in health and safety matters, as confirmed by review of personnel files and interviews with staff including the cleaner. Bulk chemicals are stored in a lockable room when not in use and are decanted into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All areas of the facility were spotless on audit days. The residents and family members interviewed were happy with the cleanliness of their rooms and other areas in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current and are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has been approved by the New Zealand Fire Service. Trial evacuations take place every six months and a copy of the finding from each drill is sent to the local fire service. The most recent drills occurred on 11 April 2018 and 11 September 2017. The time taken for evacuation is recorded and there have been no issues or risks identified. The most vulnerable or mobility impaired residents are listed on the fire board and are assisted first.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28 residents. Water storage tanks are located around the complex, and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functional on audit days and staff were observed to attend to these in a timely manner. Residents and families were happy with staff responses to call bells at all times of the day and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lock the external doors and windows each night for security purposes. New aluminium windows had just been installed throughout the facility prior to the audit. These did not have security stays installed.  There is a requirement in criterion 1.4.7.6 to ensure the windows that are most easily accessible are secured.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 ‘night stores’ in communal areas and individually temperature-controlled panel heaters in residents’ rooms. Areas were warm and well ventilated throughout the audit and residents and families confirmed the home is maintained at a comfortable temperature year-round.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Home provides an environment that minimises the risk of infection to residents, staff and visitors by implementing an appropriate infection prevention and control programme. The CM is the infection control coordinator (ICC) and has access to external specialist advice from the GP practice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reviewed in the last 12 months. Rates of infections are discussed at monthly staff and quality meetings.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following the infection control policies and procedures such as washing of hands, wearing of gloves and gowns where appropriate.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ICC and other specialist consultants. A record of attendance is maintained and was sighted. The training content meets best practice and guidelines. The ICC had completed an online infection control training to keep their knowledge current. External contact resources included: GP practice,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clinical manager/restraint coordinator provides evidence that Seaview Homes restraint philosophy and practice is to maintain a restraint free environment. There have never been any restraints used. There were three enablers (bed levers) in use on audit days. Resident files reviewed confirmed these were voluntary and had been consented and agreed to by the residents using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describes processes for assessment, consent and monitoring that would meet this standard in the event that a restraint intervention was required. It contains definitions that are congruent with this standard and describes methods for avoiding or minimising the use of restraint. Policy designates a restraint coordinator, and clearly describes the processes for evaluation, review and ongoing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Review of a sample of staff files and training documents confirmed that staff engage in ongoing education. This included managing challenging behaviour, use of de-escalation techniques and preventing the use of restraint. There is also an emergency restraint policy which authorises an RN to initiate an emergency restraint before a GP assessment.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9"/>
        <w:gridCol w:w="1280"/>
        <w:gridCol w:w="6529"/>
        <w:gridCol w:w="1674"/>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Pantry inspection and interviews revealed there is no system for recording when bulk dry food stock is decanted. All other stored food is dated.</w:t>
            </w:r>
          </w:p>
          <w:p w:rsidR="00EB7645" w:rsidRPr="00BE00C7" w:rsidP="00BE00C7">
            <w:pPr>
              <w:pStyle w:val="OutcomeDescription"/>
              <w:spacing w:before="120" w:after="120"/>
              <w:rPr>
                <w:rFonts w:cs="Arial"/>
                <w:b w:val="0"/>
                <w:lang w:eastAsia="en-NZ"/>
              </w:rPr>
            </w:pPr>
            <w:r w:rsidRPr="00BE00C7">
              <w:rPr>
                <w:rFonts w:cs="Arial"/>
                <w:b w:val="0"/>
                <w:lang w:eastAsia="en-NZ"/>
              </w:rPr>
              <w:t>Bags of potatoes were being stored too close to the ground outside. This was rectified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Storage of some food items do not meet safe storage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food items are stored safely and dated when taken out of the original packaging or decanted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(BWOF) expired on 01 July 2018.  Interview with the director who oversees property matters revealed that the process for renewing the BWOF began in January 2018. A delay has occurred due to a difference of opinion between external contractors about building requirements. It is anticipated this will be resolved and that the district council will issue a new warrant.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of warrant of fitness has expired.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current BWOF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1.4.7.6</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identifies and implements appropriate security arrangements relevant to the consumer group and the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check that external doors and windows are closed at sunset for security purposes. There are no security stays on any of the external windows. The office window and the resident bedroom windows that face the front door carpark/driveway are vulnerable for unauthorised entry. There are also a few windows that could be accessed from the front terrace.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newly installed aluminium windows surrounding the building do not have any security latches.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security latches are installed on the windows that are the easiest to gain outside entry.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Mateus Enterprises Limited - Seaview Home</w:t>
    </w:r>
    <w:bookmarkEnd w:id="58"/>
    <w:r>
      <w:rPr>
        <w:rFonts w:cs="Arial"/>
        <w:sz w:val="16"/>
        <w:szCs w:val="20"/>
      </w:rPr>
      <w:tab/>
      <w:t xml:space="preserve">Date of Audit: </w:t>
    </w:r>
    <w:bookmarkStart w:id="59" w:name="AuditStartDate1"/>
    <w:r>
      <w:rPr>
        <w:rFonts w:cs="Arial"/>
        <w:sz w:val="16"/>
        <w:szCs w:val="20"/>
      </w:rPr>
      <w:t>6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