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Thornbury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Thornbury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September 2018</w:t>
      </w:r>
      <w:bookmarkEnd w:id="7"/>
      <w:r w:rsidRPr="009418D4">
        <w:rPr>
          <w:rFonts w:cs="Arial"/>
        </w:rPr>
        <w:tab/>
        <w:t xml:space="preserve">End date: </w:t>
      </w:r>
      <w:bookmarkStart w:id="8" w:name="AuditEndDate"/>
      <w:r w:rsidR="00A4268A">
        <w:rPr>
          <w:rFonts w:cs="Arial"/>
        </w:rPr>
        <w:t>6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Thornbury House is certified to provide dementia level care for up to 33 residents.  On the day of audit, there were 33 residents.  The service is managed by a diversional therapist, who reports to the owners.  </w:t>
      </w:r>
    </w:p>
    <w:p w:rsidRPr="00A4268A">
      <w:pPr>
        <w:spacing w:before="240" w:line="276" w:lineRule="auto"/>
        <w:rPr>
          <w:rFonts w:eastAsia="Calibri"/>
        </w:rPr>
      </w:pPr>
      <w:r w:rsidRPr="00A4268A">
        <w:rPr>
          <w:rFonts w:eastAsia="Calibri"/>
        </w:rPr>
        <w:t xml:space="preserve">Families interviewed were complimentary of the service provided to residents.  Staff turnover has been low.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audit has identified that improvements are required around care planning and evaluation.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Thornbury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related services is readily available to residents and families/whānau.  Information on informed consent is included in the admission agreement and discussed with residents (where able) and family.  Staff interviewed are familiar with processes to ensure informed consent.  Complaints policies and procedures meet requirements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Thornbury House is part of the Elsdon Enterprises (Ltd) Group.  The manager is supported by an activity’s coordinator/assistant manager and two registered nurses.  Thornbury House has a documented quality management programme that supports the provision of clinical care.  Quality data is collated for infections, internal audits, concerns and complaints, and surveys.  The business plan has objectives/goals documented.  There are policies and procedures to provide appropriate support and care to residents with rest home level needs.  This includes a documented quality management programme that includes analysis of data.  Ongoing training is provided and there is a training plan developed and commenced for 2018.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available prior to or on entry to the service.  Registered nurses are responsible for the provision of care and documentation at every stage of service delivery.  A registered nurse assesses and reviews residents' needs, outcomes and goals with the resident and/or family input.  Care plans viewed demonstrate service integration and are reviewed at least six monthly.  There is comprehensive service information available.  Care plans and reviews are completed by a registered nurse.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Planned activities are appropriate to the resident group.  Family interviewed confirmed satisfaction with the activities programme.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senior caregivers are responsible for the administration of medicines.  Medication charts are reviewed three monthly by the GP.</w:t>
      </w:r>
    </w:p>
    <w:p w:rsidRPr="00A4268A" w:rsidP="00621629">
      <w:pPr>
        <w:spacing w:before="240" w:line="276" w:lineRule="auto"/>
        <w:rPr>
          <w:rFonts w:eastAsia="Calibri"/>
        </w:rPr>
      </w:pPr>
      <w:r w:rsidRPr="00A4268A">
        <w:rPr>
          <w:rFonts w:eastAsia="Calibri"/>
        </w:rPr>
        <w:t xml:space="preserve">Meals are prepared on site and the menu is varied and appropriate.  Individual and special dietary needs are catered for.  Alternative options are provided.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Resident rooms are of sufficient size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monitored through the internal auditing system.  Appropriate training, information and equipment for responding to emergencies has been provided.  There is an approved evacuation scheme and emergency supplies for at least three days.  All staff hold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At the time of the audit there were no residents using restraint or enablers.  Staff receive training on restraint minimisation and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1"/>
        <w:gridCol w:w="1280"/>
        <w:gridCol w:w="95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seven care staff, including two registered nurses (RN), four caregivers and one activities coordinator/assistant manager confirmed their familiarity with the Code.  Six family members interviewed confirmed the services being provided are in line with the Code.  Staff are provided with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 medical care guidance instructions were recorded, as evidenced in six resident files reviewed.  Residents have an activated enduring power of attorney in place (EPOA).  There was evidence that family involvement occurs.  Family members/EPOA interviewed confirmed that information was provided to enable informed choices, and that they were able to decline or withdraw their consent.  All residents in shared rooms had consent documented.  Resident admission agreements were signed.  Care workers and the registered nurses interviewed confirmed verbal consent is obtained when delivering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included in the information folder and in advocacy pamphlets that are available around the facility.  Discussions with families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families confirm that visiting can occur at any time and families are encouraged to be involved with the service and care.  Residents are supported to maintain former activities and interests through the activity programme.  Community involvement such as entertainers and church services are provided through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family/whānau are provided with information on admission.  Complaint forms are available at the entrance of the service.  Staff are aware of the complaints process and to whom they should direct complaints.  A review of the complaints register evidenced that one complaint had been made since the last audit.  Appropriate actions have been taken in the management and processing of the complaint.  Family members advised that they are aware of the complaints procedure and how to access complaint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family/EPOAs that includes (but not limited to) the Code, complaints and advocacy.  Information is given to the family or the enduring power of attorney (EPOA) to read to and/or discuss with the resident.  Annual surveys and direct communication with management provide the opportunity to raise concerns.  Advocacy and the Code information is also available at the service.  The information pack includes information about the dementia care unit, the need for a secure environment and behaviours that may be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are signed by staff at commencement of employment.  Residents are supported to attend church services held within the facility or attend church services in the community if they wish (link 1.3.5.2).  There is an abuse and neglect policy and staff education around this occurred in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Staff confirmed they are aware of the need to respond appropriately to maintain cultural safety.  Staff receive training around cultural awareness and the Treaty of Waitangi.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Care planning and activities goal setting includes consideration of spiritual, psychological and social needs (link 1.3.5.2).  Families interviewed indicated that they are asked to identify any spiritual, religious and/or cultural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dignity, privacy and boundaries.  Staff have completed training around professional boundaries.  These could be described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dementia level care.  The quality management programme has been designed to monitor contractual and standards compliance and the quality of service delivery in the facility.  Staffing policies include pre-employment and the requirement to attend orientation and ongoing in-service training.  Quality improvement meetings are conducted every three months and staff meetings every two months.  Families interviewed spoke positively about the care and support provided.  Staff interviewed had a sound understanding of principles of aged care and stated that they feel supported by the management team.  Caregivers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notified following a change of health status of their family member.  This was confirmed in twelve incident forms reviewed.  Families also stated they were welcomed on entry and were given time and explanation about services and procedures.  Newsletter are sent out to family/whānau on a six-monthly basis with the last newsletter being provided in August 2018.  The service can access interpreter services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Thornbury House provides care for up to 33 rest home dementia level of care residents.  At the time of the audit there was full occupancy of 33 residents.  All permanent residents were under the aged related residential care (ARRC) contract.  The service is part of the Elsdon Enterprises (Ltd) Group who provides governance and management support to the manager.  The Elsdon Enterprises (Ltd) Group has three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A non-clinical manager is responsible for day-to-day running of Thornbury House, with clinical oversight provided by a full-time senior RN and another part-time RN.  The manager had been at Thornbury House for 11 years and in the manager role for 10 years.  The manager is supported by an assistant manager who is also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for 2016–2019 that includes a mission statement and operational objectives.  There is a risk management schedule and documented quality objectives that align with the identified values and philosophy.  Review of goals for 2017 has been documented as being completed in March 2018.  The manager reports to the owners at Elsdon Enterprises (Ltd) Group on a monthly basis and on a variety of topics relating to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activities coordinator/assistant manager will fill the role with the support from the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management programme and ensures the internal audit schedules are followed.  Corrective action plans are developed and signed off when service shortfalls are identified.  Quality improvement processes are in place to capture and manage non-compliances.  They include internal audits, hazard management, risk management, incident and accident and infection control data collection and complaints management.  Quality data is collated for accident/incidents, infection control, internal audits, concerns and complaints, and surveys.  Quality data is discussed at the three-monthly quality improvement meetings and bi-monthly staff meetings.  Meeting minutes have improved since the last audit, and there is more of a thorough discussion of quality data, trends and corrective actions are developed for any quality improvements identified.   There are policies and procedures provided by an external aged care consultant that are relevant to the service types offered and these are reviewed and updated at least two yearly or sooner if there is a change in legislation, guidelines or industry best practise.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family satisfaction survey conducted annually.  The 2018 survey evidences that families are overall satisfied or satisfied with the level of service being provided.  Health and safety policies are current and reflect current legislation.  There is a health and safety officer that is familiar with health and safety requirements.  He has completed specific health and safety (work safe) training.  There is a group health and safety manager who oversees the health and safety processes for the four facilities within the group.  Health and safety issues are discussed at the quality improvement meetings and staff meetings with actions documented to address any issues raised.  Hazards are identified, managed and documented on the hazard register which was last reviewed on 2 September 2018.  Falls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Twelve incidents reviewed for July and August 2018 demonstrated clinical follow-up.  Forms sighted demonstrated neurological observations were completed for six unwitnessed resident falls with a potential head injury.  Accidents and incidents are analysed monthly with results discussed at the three-monthly quality improvement meetings and the bi-monthly staff meetings.  Discussions with the manager confirmed that there is an awareness of the requirement to notify relevant authorities in relation to essential notifications.  There has been one section 31 notification made since the last audit for a staff behaviour incident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Six staff files sampled (one manager, one activities coordinator/assistant manager, one RN, two caregivers and one cook) included appropriate employment practices and documentation.  All staff files reviewed for staff who have been employed for more than 12 months contained a current annual performance appraisal.  The recruitment and staff selection process require that relevant checks are completed to validate the individual’s qualifications, experience and suitability for the role.  Current annual practising certificates are kept on file.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provides information and skills around working with residents with dementia level care needs and were completed in all staff files reviewed.  There is an annual training plan in place for 2018.  There are 22 caregivers that work in the dementia care unit; 18 have completed the required dementia standards and four were in progress of completing.  All four have been employed in their roles within the past 18 months.  Families interviewed stated that care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manager is on site 40 hours per week.  On call is managed on a rotating roster between the manager, the activities coordinator/assistant manager and the two RNs.  The RNs also provide back-up call for clinical matters when the non-RN management is on call.  At the time of the audit there were 33 residents in total.  The senior RN works from 8.00am to 4.30pm Mon- Fri and the other RN from 9.00am to 3.00pm (the RNs rotate weekly so there is always at least one RN there).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supported by sufficient number of caregivers.  There are four caregivers on duty on the morning shift (three long and one short shift), three caregivers on the afternoon shift and two caregivers on the night shift.  Staff and family interviewed reported that staffing is sufficient.  The local general practitioner (GP) also provides after hours care if required and caregivers have access to the local ambulance service.  Interviews with caregivers and family members identify that staffing is adequate to meet the needs of residents.  Advised that extra staff can be called on for increased resident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Individual resident files demonstrate service integration.  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Family members and EPOA receive an information pack outlining services able to be provided, the admission process and entry to the service.  The manager and registered nurses screen all potential residents prior to entry and records all admission enquiries.  Family members interviewed confirmed they received information prior to admission and had the opportunity to discuss the admission agreement with the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kept well informed about all matters pertaining to residents, especially if there is a change in the resident's condition as evidenced in the sample of files reviewed.  The registered nurses provided an example of when a resident was reassessed using the InterRAI assessment tool and transferred to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here are policies and procedures in place which comply with current legislation.  Medicines are stored in accordance with legislation and current guidelines.  Medications are pre-packed in robotics and stored in a locked trolley in a locked room.  Medicine administration practice complied with the medicine management policy in the medicine round observed.  Medications are administered by registered nurses or medication competent care staff.  Staff that administer medications complete a medicine competency and medication management annually.  Medications are prescribed on the electronic medicine management system in accordance with legislative prescribing requirements for all regular and ‘as required’ medicines.  Medications are checked on admission and on arrival to the facility and discrepancies are reported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standing orders and verbal orders are rarely used as an electronic system is in place.  There was no expired stock on-site on day of audit.  Medication fridge temperatures are checked at least weekly and temperatures are within acceptable ranges.  The GPs review the medication charts at least three-monthly.  A review of 12 medication signing sheets evidenced that administration of all medications aligned with the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well-equipped kitchen located adjacent to the dining room and meals are served directly to residents.  The kitchen is well maintained, and clean and food service manuals are available to guide staff.  A food control plan is registered and verified.  A dietitian reviews the menu.  There is a seasonal rotational menu.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dietary profile is developed for each resident on admission and is provided to the kitchen staff.  The kitchen is able to meet the needs of residents who need special diets and the cooks’ work closely with the registered nurses.  Diets are modified as required.  The cook confirmed that there is an alternative available.  Any changes to nutrition requirements are communicated to the cook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freezer and food temperatures are monitored and documented.  All food is stored appropriately.  Additional snacks are available to residents 24-hours a day.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files sampled evidenced that appropriate personal needs information is gathered during admission in consultation with the resident, and their relative where appropriate.  This forms the basis of the initial care plan.  Resident files sampled evidenced that the InterRAI assessment tool and risk assessments had been used to form the basis of the long-term care plan.  The InterRAI assessment outcomes were reflected in the long-term care plans where these have been completed.  Six-monthly InterRAI reassessment has occurred for four residents.  Two residents had not been at the service for six months and did not require reassessment.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evidenced an initial care plan.  The long-term care plans of five residents were reviewed (one resident did not yet require a long-term care plan) and evidenced they were based on the InterRAI and assessment tools.  Not all long-term care plans reviewed described all areas of the supports and interventions required to meet the resident’s goals and needs.  Short-term care plans have been used for changes in health status, and transferred to the long-term care plan, if issues continue.  Residents and their family/whānau are documented as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(link 1.3.5.2)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behaviour management, fluid balance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There were two wounds on the day of audit - one stage-2 pressure injury for one resident and a skin tear.  There was a wound assessment, wound treatment chart and review documented.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facilitates the activities programme for residents.  The activities team also includes two diversional therapists/care workers who provide the programme in the weekends.  The manager is also a trained diversional therapist.  Each resident has an individual activities assessment on admission and from this information, an individual activities plan has been developed by the RN’s in conjunction with activities staff.  The individual 24-hour plans sampled lacked sufficient detail to guide care staff (link 1.3.5.2).  The activities programme reflects the resident’s cognitive and physical abilities.  Activities in the home are provided for each morning and afternoon by the activity’s coordinator.  In the evening, an activities person is employed from 4.30pm - 8.00pm and is stationed in the lounge to ensure that residents are supervised and provided with quiet activities.  Care workers are also involved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free to choose whether they wish to participate the group activities programme or their individual plan.  Participation is monitored.  Group activities reflect ordinary patterns of life and include planned visits to the community.  Residents are assisted to maintain contacts with community groups.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reviewed at least six monthly or earlier if there is a change in health status.  Reviews do not always document progress toward meeting goals.  There is at least a three-monthly review by the GP.  Changes in health status are documented and followed up.  An RN signs care plan reviews.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There are close links with psychiatric services for the elderly.  Referral documentation is maintained on resident files.  The registered nurses initiate referrals to nurse specialists and allied health services.  Other specialist referrals are made by the GPs.  Referrals and options for care were discussed with the resident and family as evidenced in interviews and medical notes.  Examples were provided where a resident’s condition had changed, and the resident was reassessed.  Referrals are documented in the resident notes with follow-up documented in the progress notes and in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securely stored.  Chemicals were clearly labelled, and safety material datasheets were available and accessible in all service areas.  The hazard register is current.  Staff interviewed confirmed they could access personal protective clothing and equipment at any time.  As observed during the audit staff were wearing gloves, aprons and hats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facility building warrant of fitness expired on 28 June 2019.  Both internal maintenance personnel and external contractors undertake maintenance.  Reactive and preventative maintenance occurs.  There is a part-time maintenance person on staff who works Monday to Friday 9am to 2:30 pm and on call as required.  There is a monthly planned maintenance programme in place.  Electrical safety test tag system shows this has occurred.  The facility is being maintained in good repair.  All maintenance records were reviewed and are clearly documented.  Review of the records reveals water temperatures are all below 45 degrees Celsius and whenever it was out of range, corrective actions had been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to promote safe mobility with the use of mobility aids and transferring equipment.  Residents were observed moving freely around the areas with mobility aids where required.  The external areas and gardens were well maintained.  There are safe and secure outside areas that include seating and shade around the facility.  The lounge area is designed so that space and seating arrangements provide for individual and group activities.  There are quiet, low stimulus areas that provide privacy when required.  There is wheelchair access to all areas.  Residents are able to bring in their own possessions and are able to decorate their room as they wish.  The facility has a van available for transportation of residents.  Those staff transporting residents holds a current first aid certificate.  The care workers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There are adequate numbers of communal toilets and shower rooms.  Toilets have privacy locks.  There are large picture signs on the toilet doors.  There is appropriate signage, easy clean flooring and fixtures, and handrails appropriately placed.  Privacy is maintained at all times.  Three rooms are shared rooms and there are curtain screens available between the beds for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Residents can personalise their rooms.  The three rooms shared by two residents in each are of sufficient size to accommodate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layout of the home provides for freedom of movement within a safe and secure environment.  There are external walking paths and internal space to allow wandering that is not obtrusive on other residents.  There is sufficient space within the open plan dining and lounge area to accommodate individual low stimulus activities and group activities.  Resident dining can be easily observed and supervised.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also a cleaning schedule/methods policy for cleaners.  All laundry is undertaken on site.  The laundry is well organised and is divided into a “dirty” and “clean” area and staff manage the workload adequately.    There are appropriate systems for managing infectious laundry, which laundry staff could describe.  There is a comprehensive laundry manual.  Cleaning and laundry services are monitored through the internal auditing system and the resident satisfaction surveys.  The cleaner’s trolleys were attended at all times or locked away in the cleaning rooms as sighted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 is available.  Staff were observed to be wearing appropriate protective wear when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disaster management plan to guide staff in managing emergencies and disasters.  The facility has an approved fire evacuation plan scheme letter dated 6 December 2004.  Fire evacuation drills are completed every six months, with the last fire evacuation drill occurring on 30 April 2018.  All staff hold a current first aid certificate.  There are civil defence supplies available and first aid kits in the nurse’s station, van and civil defence cupboard.  The facility has back-up lighting, power for up to 12 hours.  There are sufficient dry food supplies to provide for its maximum number of residents in the event of a power outage.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sufficient water stored (six 150 litre header tanks and bottled water) to ensure for three litres per day for three days per resident.  There are alternative cooking facilities available with a gas hob in the kitchen and a portable gas cooker.  The staff is responsible for checking the facility for security purposes on the afternoon and night shifts.  The police would be summoned if/when required.  The call system is appropriate for the size of the facility and call bells are accessible in the rooms, lounge and dining areas.  There is a staff member on duty 24/7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and bedrooms have adequate natural light with large windows.  There are a variety of heating methods used to maintain a warm environment within the communal areas and bedrooms including heat pumps, ceiling panels and under floor heating.  The temperature is thermostat controlled and can be individually adjusted in the resident bedrooms.  Families interviewed advised that the bedrooms, lounges and other communal 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 scope of the infection control programme policy and infection control programme description is available.  The infection control coordinator is a registered nurse.  There is a job description for the infection control coordinator with clearly defined guidelines.  Infection control committee is all staff and discussion is included in staff meetings.  The infection control programme has been reviewed annually.  Visitors are asked not to visit if they have been unwell.  There are hand sanitisers throughout the facility and adequate supplies of personal protective equipment.  Residents and staff are offered influenza vaccines.  There have been no outbreaks since the previous audit.  Staff have had training on outbreak management and are aware of outbreak procedures and can describe these easily.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The infection control coordinator has attended external education.  The infection control committee is all staff.  The infection control coordinator has access to infection control personnel within the district health board, laboratory services and GP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and updated by an external provider, and reflect relevant legislation and accepted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is provided annually and includes wound care, hand hygiene, outbreak management, personal protective clothing and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trends, resources, and education needs within the facility.  There is close liaison with the GPs that advise and provide feedback/information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reports are entered into an electronic database for all infections.  A record of individual infections is kept as part of the resident files.  Infections are included on a monthly register and a monthly report is completed by the infection control coordinator.  There are standard definitions of infections in place appropriate to the complexity of service provided.  Infection control data is communicated to staff and management through meetings.  Care staff interviewed were knowledgeable about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definition of enablers as voluntarily using equipment to maintain independence.  The service philosophy includes that restraint is only used as a last resort.  At the time of the audit there were no residents using restraint or enablers.  Staff have received training on restraint minimisation and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5"/>
        <w:gridCol w:w="1280"/>
        <w:gridCol w:w="4157"/>
        <w:gridCol w:w="3992"/>
        <w:gridCol w:w="1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six care plans reviewed evidenced that each aspect of the care plan had a goal and interventions recorded, that provided staff with sufficient information to direct care staff in providing care.  All six residents had an initial care plan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for five residents did not include all goals and interventions to support all assessed needs.  Interventions reviewed lacked sufficient detail to guide staff around continence management, challenging behaviours, communication, mobility, spiritual preferences, skin care and in the 24-hour DT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had a detailed care plan in place which describes all cares and interventions required to guide staff in the provision of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care plans are reviewed at least six monthly or sooner if health needs change.  Four of six files reviewed had evaluation dates recorded with care plans updated to reflect changes, however progress towards meeting goals was not documented.  Two resident files reviewed had not been at the service for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long-term care plan evaluations did not record progress towards achieving documented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towards achieving goals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Thornbury House</w:t>
    </w:r>
    <w:bookmarkEnd w:id="58"/>
    <w:r>
      <w:rPr>
        <w:rFonts w:cs="Arial"/>
        <w:sz w:val="16"/>
        <w:szCs w:val="20"/>
      </w:rPr>
      <w:tab/>
      <w:t xml:space="preserve">Date of Audit: </w:t>
    </w:r>
    <w:bookmarkStart w:id="59" w:name="AuditStartDate1"/>
    <w:r>
      <w:rPr>
        <w:rFonts w:cs="Arial"/>
        <w:sz w:val="16"/>
        <w:szCs w:val="20"/>
      </w:rPr>
      <w:t>5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