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Thornleigh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Thornleigh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May 2018</w:t>
      </w:r>
      <w:bookmarkEnd w:id="7"/>
      <w:r w:rsidRPr="009418D4">
        <w:rPr>
          <w:rFonts w:cs="Arial"/>
        </w:rPr>
        <w:tab/>
        <w:t xml:space="preserve">End date: </w:t>
      </w:r>
      <w:bookmarkStart w:id="8" w:name="AuditEndDate"/>
      <w:r w:rsidR="00A4268A">
        <w:rPr>
          <w:rFonts w:cs="Arial"/>
        </w:rPr>
        <w:t>30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Thornleigh Park is part of the Radius Residential Care Group.  The service provides care for up to 63 residents requiring hospital (geriatric and medical) and rest home level care.  On the day of the audit there were a total of 53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is a registered nurse (RN) who is experienced in aged care and has been in the role for three years.  The manager is supported by a clinical nurse manager who has been in the position for nine months.  </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Six of the seven shortfalls identified as part of the previous surveillance audit have been addressed.  These were around meetings and follow-up, resident/family input into care, timeliness of interRAI, care plan interventions and monitoring of care.  An improvement continues to be required around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quality system has been implemented.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medication management policies and procedures.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Fire evacuations have been undertaken six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1"/>
        <w:gridCol w:w="1280"/>
        <w:gridCol w:w="101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paper-based record of all complaints, both verbal and written is maintained by the facility manager using a complaints’ register.  There have been five complaints for 2018 (YTD).  All complaints have been managed in line with Right 10 of the Code.  A review of complaints documentation evidenced resolution of the complaint to the satisfaction of the complainant and advocacy offered.  Residents interviewed (two rest home and one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guide staff on the process around open disclosure.  The facility manager and clinical manager confirmed family are kept informed.  Relatives interviewed (two hospital and one rest home), stated they are notified promptly of any incidents/accidents.  Residents/relatives have the opportunity to feedback on service delivery through annual surveys and open-door communication with management.  The most recent family/resident survey achieved 85% for communication.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Thornleigh Park is part of the Radius Residential Care Group.  The service cares for up to 63 residents requiring hospital (geriatric and medical) and rest home level care.  There are six dual-purpose beds.  On the day of the audit, there were a total of 53 residents, 36 residents receiving rest home level care (including one resident on YPD respite, one YPD, and one long-term support chronic health condition [LTS-CHC] contract).  There were 17 residents receiving hospital level care (including one YPD, and one YPD under combined (ACC)/Ministry of Health contract).  There are six designated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Thornleigh Park continues to work towards its documented business plan that is linked to the Radius Residential Care group strategies and business plan targets.  The mission statement is included in information given to new residents.  An organisational chart is in place.  </w:t>
            </w:r>
          </w:p>
          <w:p w:rsidR="00EB7645" w:rsidRPr="00BE00C7" w:rsidP="00BE00C7">
            <w:pPr>
              <w:pStyle w:val="OutcomeDescription"/>
              <w:spacing w:before="120" w:after="120"/>
              <w:rPr>
                <w:rFonts w:cs="Arial"/>
                <w:b w:val="0"/>
                <w:lang w:eastAsia="en-NZ"/>
              </w:rPr>
            </w:pPr>
            <w:r w:rsidRPr="00BE00C7">
              <w:rPr>
                <w:rFonts w:cs="Arial"/>
                <w:b w:val="0"/>
                <w:lang w:eastAsia="en-NZ"/>
              </w:rPr>
              <w:t>Comprehensive quarterly reviews are undertaken to report on achievements towards meeting business goals and action plans from previous external audits.  The facility manager reports monthly to the regional manager on a range of operational matters in relation to Thornleigh Park, including strategic and operational issues, incidents and accidents, complaints,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who is experienced in aged care and has been in the role for three years.  An experienced clinical nurse manager who has been in the position for nine months supports her.  A regional manager supports the facility manager in the management role and was present during the audit.  The facility manager and clinical nurse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Thornleigh is implementing the Radius quality and risk programme.  Staff and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Other meetings include; monthly RN and infection control meetings, quarterly health and safety meetings, monthly resident meetings and weekly head of department meetings.  Meeting minutes are comprehensive and are reflective of the quality process and plan.  Issues are identified, and plans are carried though from meeting to meeting until resolution.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healthcare assistants, one registered nurse, one cook, and one activities coordinator) confirmed they are made aware of any new/reviewed policies.  There are sufficient clinical policies/procedures to support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Shortfalls are identified through audit and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forms and enters them into an electronic register.  The system provides monthly reports, which are discussed at the monthly staff meetings, the monthly RN meetings and the three-monthly health and safety meetings.  The service collects all incident data and documents comprehensive trends analysis for a variety of incidents.  This has enabled the service to review practice and reduce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twelve incidents documented month-to-date for May; nine falls, two bruises and one aggressive behaviour.  Five falls related incidents were reviewed.  Neurological observation had been completed as needed, and family informed.  Residents care plans and progress notes reflected the incidents and care plans updated as needed.  All incident forms identified a timely RN assessment of the resident and corrective actions to minimise resident risk.  The healthcare assistants interviewed could describe the incident reporting process.  The clinical nurse manager and facility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There have been no reports to the Ministry of Health since their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clinical nurse manager, one registered nurse (RN), three healthcare assistants (HCA) and one gardener) include a comprehensive recruitment process which includes: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is position-specific and provides new staff with relevant information for safe work practice.  Staff are required to complete written core competencies during their induction.  These competencies are repeated annually and were up-to-date.  There is an implemented annual education and training plan that exceeds eight hours annually.  There is an attendance register for each training session and an individual staff member record of training.  Of the two RN managers and five RNs, two have completed their interRAI training.  Advised interRAI-trained RNs is low due to RNs leaving the service to work at the DHB.  The service is in the process of booking more RNs into the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to determine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There is a full-time facility manager (RN) and clinical nurse manager who work from Monday to Friday and provide on call.  There is a minimum of one RN on-site at any time.  There is one RN on duty in the morning shift, the afternoon shift and the night shift based in the hospital area.  The two RN managers also assist with the RN roles to ensure safe coverage.</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for the AM and for the PM there are five long shifts; two for the hospital (17 residents) and two for the rest home (36 residents), the fifth shift is available to support across both areas.  During the night there are two HCAs with support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are often rostered for higher acuity residents and/or days when the workload is higher (admissions and interRAI for example) and this was seen on the roster.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clinical and facility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Thornleigh utilises a paper-based medication management system.  There are medication policies and procedures that follow recognised standards and guidelines for safe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medication orders with photo identification and allergy status documented.  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Short-life medications (i.e., eye drops and ointments) are dated once opened.  Education on medication management has occurred with competencies conducted for the registered nurse and senior healthcare assistants with medication administration responsibilities.  Ten medication charts reviewed identified that the GP had seen the resident three-monthly.  A registered nurse was observed administering medications and followed correct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medications stored.  Controlled drug documentation was fully completed, and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Documentation shortfalls have been identified and this is an area that continues to require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employ a qualified chef and all food is cooked on-site.  There is a food services manual in place to guide staff.  A resident nutritional profile is developed for each resident on admission and this is provided to the kitchen staff.  This document is reviewed at least six monthly as part of the care plan review.  The kitchen is able to meet the needs of residents who require special diets and the chef works closely with the registered nurses on duty.  The kitchen staff have completed food safety training.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an approved food control plan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The interRAI assessment tool is implemented and there are currently two RNs competent to use the tool.  InterRAI assessments have been completed for all long-term residents and reviewed six monthly, or when there has been a change in the resident condition.  The assessment process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documented as needed, as reviewed for one resident with documented pain control needed for back pain.  Risk assessments had been completed through the computerised care plans for all residents, including the respite resident.  All wounds had a completed assessment and associated wound management plan, and all residents had a completed GP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(four long-term and one respite) had an up-to-date and comprehensive care plan in place.  The care plans reviewed described the support required to meet the resident’s goals and needs.  The respite (YPD) file documented in-depth family input.  The interRAI assessment and other assessment tools undertaken inform the development of the resident’s care plan.  Residents and their family/whānau interviewed, reported that they are involved in the care planning and review process.  Staff interviewed reported they found the long-term care plans easy to follow.  Care planning interventions are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follow the care plan and report progress against the care plan each shift at handover.  If external nursing or allied health advice is required, the registered nurse will initiate a referral (e.g., to the district nurse, or wound specialist nurse).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and medical supplies were sighted in the treatment rooms on the day of audit.  Sufficient continence products are available and resident files include a continence assessment.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six wounds and no residents with pressure injuries.  All wounds had an assessment, management plan and evaluation documented in the electronic care planning system.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pressure injury prevention interventions such as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As part of follow up of previous audit shortfalls, three incident forms for residents with falls (where the resident had hit their head) were reviewed.  All had neuro observations completed as per policy and progress notes reflected the incident.  Two residents on turning charts were reviewed and these were all documented.  One rest home resident with behaviours that challenged had a monitoring chart completed.  Monthly weighs were in place for all residents reviewed.  Two residents had unintentional weight loss, both had weights consistently documented, both were given fortified drinks which were documented as taken.  One of the files was reviewed specifically due to weight loss and this resident’s weight was creeping back up as a result of interventions.  The other resident was declining in health and was being reassessed for a higher level of care.</w:t>
            </w:r>
          </w:p>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identified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 time diversional therapist and a part time activities coordinator.  Between them they provided activities in the rest home and hospital over five days a week.  Occasional activities are also provided over the weekend.  Community linkages are documented and community involvement in the service was evidenced to be high.  The activity programme includes the opportunity for residents to take an active part in assisting others; such as residents baking and delivering to people in need, ‘candy bomb’ (giving sweets away) and assisting with poppy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and care plans are comprehensively documented.  Three new resident files were reviewed for residents admitted within the last year.  All had a completed social/activities assessment as part of the computerised assessment process.  Activity plans are reviewed six monthly as part of the six-monthly care plan evaluation process and interRAI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care plans and goals are developed.  A record of individual attendance at activities is documented.  Residents in both areas were partaking in activities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process at least six-monthly or if there has been a significant change in their health status.  Long-term care plans are then evaluated and updated on the computer software programme.  There was documented evidence that care plan evaluations were current in resident files sampled.  Care plan evaluations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  Reactive and preventative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The most recent fire evacuation drills were August 2017 and February 2018.  This is an improvement since the previous audit.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including suspected infections that are not treated with antibiotics.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trends and analysis is discussed at the monthly clinical and staff/management meetings.  Data is sent to head office where the facility is benchmarked against other Radius facilities of similar sizes.  Internal audits for infection control are included in the annual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were no residents with restraint and no residents using an enabler.  Staff training has been provided around restraint minimisation and the management of challenging behaviours.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9"/>
        <w:gridCol w:w="1280"/>
        <w:gridCol w:w="4367"/>
        <w:gridCol w:w="2804"/>
        <w:gridCol w:w="21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 the hospital and senior healthcare assistants in the rest home are responsible for the safe administration of medication.  One medication round observed followed correct practice.  However, a review of medication charts evidences that prescribing practices and signing for administration of medications are areas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ten medication charts had short-term medications with no stop date documented.  (ii) One of ten medication charts did not match the signing chart and this medication was signed for with a ‘tick’ rather than a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short-term medications have a stop date documented and that (ii) medications administered are signed for with a signature and according to the medication chart.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Thornleigh Park</w:t>
    </w:r>
    <w:bookmarkEnd w:id="58"/>
    <w:r>
      <w:rPr>
        <w:rFonts w:cs="Arial"/>
        <w:sz w:val="16"/>
        <w:szCs w:val="20"/>
      </w:rPr>
      <w:tab/>
      <w:t xml:space="preserve">Date of Audit: </w:t>
    </w:r>
    <w:bookmarkStart w:id="59" w:name="AuditStartDate1"/>
    <w:r>
      <w:rPr>
        <w:rFonts w:cs="Arial"/>
        <w:sz w:val="16"/>
        <w:szCs w:val="20"/>
      </w:rPr>
      <w:t>29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