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Parkwood Trust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Parkwood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Parkwood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2018</w:t>
      </w:r>
      <w:bookmarkEnd w:id="7"/>
      <w:r w:rsidRPr="009418D4">
        <w:rPr>
          <w:rFonts w:cs="Arial"/>
        </w:rPr>
        <w:tab/>
        <w:t xml:space="preserve">End date: </w:t>
      </w:r>
      <w:bookmarkStart w:id="8" w:name="AuditEndDate"/>
      <w:r w:rsidR="00A4268A">
        <w:rPr>
          <w:rFonts w:cs="Arial"/>
        </w:rPr>
        <w:t>30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Addition of Hospital - medical services. This audit confirms the provider is able to meet all the requirements for this service.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Parkwood Retirement Village provides rest home and hospital level care for up to 86 residents. The service is operated by Parkwood Trust Incorporated, a charitable trust set up in the early 1970’s and managed by a general manager and a nurse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resident advocate and a general practitioner.</w:t>
      </w:r>
    </w:p>
    <w:p w:rsidRPr="00A4268A">
      <w:pPr>
        <w:spacing w:before="240" w:line="276" w:lineRule="auto"/>
        <w:rPr>
          <w:rFonts w:eastAsia="Calibri"/>
        </w:rPr>
      </w:pPr>
      <w:r w:rsidRPr="00A4268A">
        <w:rPr>
          <w:rFonts w:eastAsia="Calibri"/>
        </w:rPr>
        <w:t xml:space="preserve">This audit has resulted in three continuous improvement ratings relating to best practice, the activities programme and medicine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Parkwood Retirement Trust business and quality and risk management plans include the scope, goals, critical success factors and strategies, and the mission statement of the organisation.  Monitoring of the services provided to the governing body (a voluntary trust) is regular and effective. An experienced and suitably qualified person, who has been with the Trust for a number of years, manages the facility supported operationally by a nurse manager.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on site using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run by three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a high level of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purpose-built facility is spacious, clean, well maintained and meets the needs of residents. There is a current building warrant of fitness.  Electrical equipment is tested as required. Communal and individual spaces are maintained at a comfortable temperature. The large number of external areas around the facility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restraints are in use at the time of audit.  A comprehensive assessment, approval and monitoring process with regular reviews occurs.  Any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microbiologist, and an external advisory body.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and trended.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7"/>
        <w:gridCol w:w="1280"/>
        <w:gridCol w:w="91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Parkwood Retirement Village (Parkwood Lodge)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Input from the Health and Disability Advocacy Service is included at staff training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Parkwood Lodge’s standard consent forms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were given a ‘welcome folder’ that contained a range of information on Parkwood Retirement Village. The folder includes a copy of the Code, and information on the Advocacy Service. Brochures related to the Advocacy Service were displayed in the facility, with additional brochures available at reception. Family members and residents spoken with were aware of the Advocacy Service, how to access this and their right to have support persons. Parkwood Lodge has a residents’ advocate, who is a resident of the facility and runs the residents’ meetings. Interviews with the advocate verified residents have minimal concerns. Any concerns are promptly responded to by management. The advocate was familiar with the advocacy service and how to contact them if any residents required advice or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who the residents advocate was and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Parkwood Lodge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 forms are also available at reception and in a number of areas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11 complaints have been received over the past year and that actions taken, through to an agreed resolution, were documented and completed within the timeframes.  Action plans showed any required follow up and improvements have been made where possible. The quality managers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(eight) and family members (five) interviewed report being made aware of the Code and the Nationwide Health and Disability Advocacy Service (Advocacy Service) as part of the ‘welcome folder’ in the admission information provided, and discussion with staff at any time. The Code is displayed on the wall and in common areas together with information on advocacy service, Parkwood Trust’s mission statement and philosophy, resident meeting minutes, the newsletter, how to make a complaint, how to make a compliment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of Parkwood Lodge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 There are many small lounge areas throughout the facility where residents can access quiet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in Parkwood Lodge at the time of audit who identified as Māori, however interviews and documentation verify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Parkwood Lodge encourages and promotes good practice through evidence-based policies, input from external specialist services and allied health professionals, for example, hospice/palliative care team, diabetes nurse specialist, physiotherapist, wound care specialist, community dieticians, services for older people, and education of staff. The GP confirmed the service sought prompt and appropriate medical intervention when required and were responsive to medical requests and is quoted as saying “an excellent level of care is provided by staff of Parkwood Retirement Village. They are great advocates for their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ongoing initiative to provide and maintain the best quality of life and end of life care for residents at their families is an area that has been recognised in a previous certification audit and continues to be recognised as one of continuous improvement. </w:t>
              <w:br/>
              <w:br/>
              <w:t>Other examples of good practice observed during the audit included a commitment by management to providing an environment in which staff are happy, as evidenced by low staff turnover and the number of highly experienced long-term staff.</w:t>
              <w:br/>
              <w:br/>
              <w:t>A continued commitment to improving the quality of care provided is evidenced by an ongoing initiative aimed at a reduction in the number of falls, a commitment to reducing the number of infections and subsequent use of antibiotics, and a commitment to improve training opportunities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New Zealand when required. Staff knew how to access this service although reported interpreter services were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scope, goals, critical success factors and strategies along with the mission statement of the organisation. The documents described both annual and longer term goals and the associated steps to achieve these goals operationally, in conjunction with the quality plan. A sample of monthly reports to the board of trustees (all voluntary members including four residents from across the whole retirement complex) showed adequate information to monitor performance is reported including financial performance, emerging risks and issues and progress towards achieving of the organisational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general manager (GM) who holds relevant qualifications and has been in the role for many years. Responsibilities and accountabilities are defined in a job description and individual employment agreement. He is supported by a nurse manager who also has significant experience in the aged care sector. They confirmed knowledge of the sector, regulatory and reporting requirements. The GM maintains currency through regular attendance at sector meetings, conferences and maintaining close links with the national body and other local organisations.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both hospital and rest home level care. Seventy eight residents were receiving services under the contract (30 hospital level and 48 rest home level)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is supported by a nurse manager with 17 years’ experience in the sector who, when the GM is absent, carries out all the required duties under delegated authority. During absences of key clinical staff, clinical management is overseen by senior registered nurses (RN’s) who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incidents, complaints, audit activities, a regular resident satisfaction survey, monitoring of outcomes, clinical incidents including infections and any medication errors. The quality programme is managed by the two quality managers, one taking responsibility for operational quality programmes and the other with responsibility in administration activities. The quality team has representation from across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team leaders, clinical and quality and risk team regular meetings. Staff reported their involvement in quality and risk management activities through audit activities as well as always being able to make suggestions and discuss ideas with management on an ongoing basis. Relevant corrective actions are developed and implemented to address any shortfalls. Resident and family satisfaction surveys are completed annually along with regular monthly meetings between the GM and the residents. Also, following admission, all residents have a six weekly follow up to ensure there are no concerns. One recent issue identified at the residents’ meeting was a heating problem in one of the public areas. This was immediately referred to the maintenance team and resolved quickly.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managers described the processes for the identification, monitoring, review and reporting of risks and development of mitigation strategies. The managers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reported to the quality team and integrated into the quality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 described essential notification reporting requirements, including for pressure injuries. They advised there have been no notifications of significant events made to the MoH or other regulatory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six 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Internal training is carefully monitored to ensure all staff complete the required sessions. External speakers come into the facility to complete training where relevant. Care staff have either completed or commenced a New Zealand Qualification Authority education programme to meet the requirements of the provider’s agreement with the DHB. A staff member is the internal assessor for the programme. Staff reported they are encouraged and supported to undertake external training opportunities if appropriate. There are sufficient trained and competent registered nurses (eight)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fortnightly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 (FM) or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Capital &amp; Coast District Health Board’s (CCDHB)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from a local acute care facility showed transfer was managed in a planned and co-ordinated manner. The resident reported being kept well informed during the transfer.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Parkwood Lodge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Controlled drugs are checked by two staff for accuracy in administration. The controlled drug register provided evidence of weekly and six-monthly stock checks and accurate entries. Improved management of controlled drugs occurred with the implementation of an electronic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eleven residents (four in the hospital and seven in the rest home) who were self-administering medications at the time of audit. Two (rest home residents) of the eleven, fully self-administer while the other nine, administer under supervision.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in line with standing orders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Parkwood Lodge is provided on site by a cook and is in line with recognised nutritional guidelines for older people. The menu follows summer and winter patterns and has been reviewed by a qualified dietitian in August 2017. Recommendations made at that time have been implemented. A food control plan has been registered with the Ministry of Primary Industries (MPI) 27 June 2018.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An exercise book in the dining room records residents’ comments around the food service. Comments are complimentary with any areas of dissatisfaction promptly responded to. The cook at Parkwood Lodge is aware of some residents ongoing dissatisfaction with food, and meets with the residents on admission, at residents’ meetings and one on one on an ongoing basis, to meet all residents’ requests. Each resident ‘favourite meal’ is incorporated into the menu. On the day that meal is served the menu board identifies which resident’s request is being provided that day. Residents requests (generally from male residents) for a cooked breakfast of bacon and eggs, are attended to by the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given time to eat their meal in an unhurried fashion and those requiring assistance had this provided. An ad hoc survey on the day of audit with regards to satisfaction with the days meals, had all favourable responses. </w:t>
            </w:r>
          </w:p>
          <w:p w:rsidR="00EB7645" w:rsidRPr="00BE00C7" w:rsidP="00BE00C7">
            <w:pPr>
              <w:pStyle w:val="OutcomeDescription"/>
              <w:spacing w:before="120" w:after="120"/>
              <w:rPr>
                <w:rFonts w:cs="Arial"/>
                <w:b w:val="0"/>
                <w:lang w:eastAsia="en-NZ"/>
              </w:rPr>
            </w:pPr>
            <w:r w:rsidRPr="00BE00C7">
              <w:rPr>
                <w:rFonts w:cs="Arial"/>
                <w:b w:val="0"/>
                <w:lang w:eastAsia="en-NZ"/>
              </w:rPr>
              <w:t>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FM.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are initially assessed using a range of nursing assessment tools, such as a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verifies the RNs are familiar with requirement for reassessment of a resident using the interRAI assessment tool when a resident has increasing or changing need levels. </w:t>
              <w:br/>
              <w:br/>
              <w:t>All residents have current interRAI assessments completed by eight of 16 RNs/trained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reflected the support needs of residents, and the outcomes of the integrated assessment process and other relevant clinical information.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trained diversional therapists, two recreation assistants and several residents from the village, whose spouses reside in the care facility.</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history and discussion is undertaken on admission to ascertain residents’ needs, interests, abilities and social requirements. Families assist in formulating the residents ‘life story’, to enable the staff to become familiar with the resident’s lifestyle prior to residing at Parkwood Retirement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the weekly men’s club, trips to places of interest for residents, outings to attend community group meetings  (e.g. stroke club, singing groups, music group), attend local concerts, visits to social events at other facilities, baking, making preserves, café club, visiting entertainers, knitting group, quiz sessions and daily news updates. The activities programme is discussed at the minuted residents’ meetings, run by the resident’s advocate, and minutes indicated residents’ input is sought and responded to.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demonstrated satisfaction. Satisfaction with activities is discussed after each event, as recognised in a previous continuous improvement initiative that remains in place.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(e.g. as observed in wound care, behaviour and pain management). Short term care plans were consistently reviewed for acute events such as infections, pain, and weight loss. Progress is evaluated as clinically indicated and according to the degree of risk noted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CM or one of the three charge nurses, for each area, sends a referral to seek specialist input. Copies of referrals were sighted in residents’ files, including to the psycho-geriatric assessment team, the wound care nurse specialist, respiratory and vascular outpatients. Referrals are followed up on a regular basis by the RN or the GP.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All chemicals are delivered to the maintenance area where they are checked, logged and delivered to the appropriate areas as needed.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18 May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external areas that are safe, well maintained and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their own ensuite bathrooms. Appropriately secured and approved handrails are provided in the bathrooms, and other equipment/accessories are available to promote residents’ independence. A number of additional toilets are also available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are very spacious and provide single accommodation as well as a number of double rooms for couples if required. The rest home rooms are all individual apartment style, with small lounge areas and kitchenettes.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 chairs either inside apartments or in a storage room in the hospital wing. Mobility scooters have charging facilities outside rooms in the wide corridors. Staff and residents all reported satisfaction with the accommodation, especially the rest home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two dining areas and a large lounge in the rest home and another in the hospital wing. There is also an activity room and a “quiet room”. These areas are spacious and enable easy access for residents and staff.  Residents can also access a number of smaller areas and alcoves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Care staff and the dedicated laundry staff demonstrated a sound knowledge of the laundry processes, dirty/clean flow and handling of soiled linen. Residents interviewed reported the laundry is managed well and their clothes are returned in a timely manner. Handwashing of delicate items is done by the laundry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have completed all relevant chemical and housekeeping training, as confirmed in interview of cleaning staff and review of training records. Chemicals were stored in a lockable cupboard and/ or store rooms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a comprehensive and regular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17 March 2006. A trial evacuation takes place six-monthly with a copy sent to the New Zealand Fire Service, the most recent being earlier in the month of the audit.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stretchers, tools ,medical supplies, ladders, night lights and gas BBQ’s were sighted and meet the requirements for the 78 residents. A 30,000 litre water storage tank is located in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cameras are installed at all main entrances. Staff all have walkie- talkies for communication and in case of any security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outside garden or small patio areas. Heating is provided by gas and water boiler systems with radiators in each room and communal areas. A large gas fire is located in the main lounge.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Parkwood Lodge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management level with input from the FM, infection control committee, external infection control advisory service and the infection control nurse and microbiologist at the CCDHB, if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is the designated infection control nurse coordinator (ICC), whose role and responsibilities are defined in a job description. Infection control matters, including surveillance results, are reported daily at handover, monthly and tabled at the management meeting, RN meetings and staff meetings and two monthly at the infection control committee meetings. Infection control statistics are recorded manually and compared against previous infection data. The organisation’s FM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has undertaken training in infection prevention and control and attended relevant study days, as verified in training records sighted. Well-established local networks with the infection control team at the DHB are available and expert advice from the community laboratory or an external IC advisory body can be sourced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are provided by an external advisory body and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Parkwood Lodge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management, RN and staff meetings and at staff handovers. Surveillance data is recorded on the infection data sheet.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restraints. There were no current residents using enablers, which staff reported would be the least restrictive and only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coordinator, the GP, an RN and the clinical nurse leader,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restraint coordinator in interview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This includes the use of sensor mats, low beds and laser sensors.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regularly and reviewed at each restraint approval group meeting held three monthly. The register was reviewed and contained all residents currently using a restraint and sufficient information to provide an auditable record. Monthly reports are submitted to the quality committee.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the organisation’s policy and procedures and in related topics, such as positively supporting people with challenging behaviours. Staff spoken to understand that the use of restraint is to be minimised and how to maintain safety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three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Three monthly restraint meetings and reports are completed and individual use of restraint use is reported to the quality and clinical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the coordinator confirmed that the use of restraint has been at a consistently low level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171"/>
        <w:gridCol w:w="35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2012 Parkwood Lodge identified the need to improve the delivery of end of life care and support to residents and their families. A group of eighteen RNs, enrolled nurses and experienced caregivers completed the Hospice New Zealand Fundamentals of Palliative Care Programme. Since then it has been acknowledged that Parkwood Lodge provides a high level of care for residents referred from Mary Potter Hospice at the end of their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the service identified the need to ensure all care staff Parkwood Lodge had access to training in palliative care/end of life care. RNs who had already completed the fundamentals of palliative care were given the opportunity to attend the more advanced master class workshops available through Hospice New Zealand. All new RNs to the service are given the chance to complete the 10 learning packages provided by Hospice New Zealand. RNs who have completed the fundamentals of palliative care package are given the opportunity to attend the more advanced master classes. One RN has this year completed a week long ‘palliative care link nurse programme’, working alongside other RNs in the inpatient unit. Another RN has applied to complete the programme and is awaiting confirmation of a start date. RNs attend the quarterly palliative care link nurse meetings held at Parkwood Lodge, enabling all care staff to also attend. Two of the RNs have completed a Post Graduate Diploma in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Since 2016, caregivers have had the opportunity to attend palliative care for caregivers and advanced palliative care for caregivers training. Four attended the basic programme in 2016 with three attending the advanced programme. In 2017 five attended and this year another four, with four booked for 2019. All RNs employed at now have fundamentals of palliative care qualifications, with 12 attending masterclasses this year. In 2017 two of the Diversional Therapists attended a study day on diversional therapy in palliative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have identified positive feedback from caregivers regarding their confidence around providing palliative care and improving the standard of palliative care they are able to provide. There is positive feedback from RNs regarding their competence to deliver high quality care, and the confidence that they have the support of care staff who have the skills and knowledge to deliver the care required. There is positive feedback from the Mary Potter Community support team, regarding the high-quality palliative care provided by Parkwood Retirement Village. Feedback from the visiting gerontologist is also positive around the high standard of care provided. Acknowledgement from residents’ families regarding the high-quality care provided in the last days of a resident’s life reflects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Parkwood Lodge has improved the skills, knowledge and experience of its staff in the provision of end of life care and support to residents at the facility. This is supported by evidence from family members, staff, training records and specialist service providers. Evidence verifies a reduction in the number of residents requiring transfers to hospital or hospice for additional end of life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September 2017, medication errors at Parkwood Lodge were noted to be increasing, specifically around controlled drugs and medications administered by the RN. There had been an increase in the number of residents on controlled drugs. One of the repeated errors was Fentanyl patches being forgotten or not being replaced on the correct day. Staff identified lack of attention, increased workload, and the increase in the number of controlled drug medications needing to be double checked and signed out, as factors in the errors. Several initiatives were trialled around improving the practices of RNs around medication management including the introduction of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Intensive staff training was undertaken to ensure all medication competent staff were skilled in their management of the electronic system. Initially a small number of errors still occurred when new residents came in, however this has resolved with all residents’ medications being entered onto the electronic record. A daily check of Fentanyl patches is made by the RN and recorded in the electronic record. Results of medication error analysis shows a marked reduction in controlled drug errors since the implementation of the electronic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initiative to address an increasing number of drug errors, by the implementation of an electronic medication management system has resulted in a marked reduction in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previously identified at Parkwood Lodge remains in place and has been expanded. The activities programme aims to continually improve the activities provided to best meet the needs of the residents.  Planning sheets continue to be used, to identify the actions required to ensure an event is successful. Risks are identified, as are strategies to manage the risk. Following the activity there is an evaluation to assess the level of satisfaction with each event provided. The results of the findings are incorporated into the next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an early 2018 evaluation of several activities the men expressed a desire to have activities for men, with public speakers, bowls and more physical activity. The men’s club was introduced and runs daily once a week. The women requested more painting and knitting. A communal painting group and knitting group was introduced. New activities also include the café. A café is set up, residents can order coffee or tea and food items (cakes, sandwiches and savouries) which are provided by the kitchen. Bone china cups and small table settings encourage residents to help themselves, request favourite food items and mingle in small groups – all of which contribute to enhanced communication. A visual entertainment area has opened, with DVDs, CDs and books available for residents to use. A large screen TV with surround sound was purchased.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Parkwood Lodge strives to continually improve to best meet the needs of the residents. The facility provides an expansive range of activities, both in and out of the facility that are resident initiated. Pre-planning of activities occurs to identify any risks. A review occurs following the activity with analysis and evaluation of residents’ satisfaction. Findings from the residents’ review of the activity are incorporated into the next event or the event may not be repeated if it was not enjoyed.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request by residents for the activities programme to include several additional activities has been responded to. Graphs evidence an improvement in attendance at the activities being offered because of responding to these requests, as well as greater levels of satisfaction following the activity.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Parkwood Trust Incorporated</w:t>
    </w:r>
    <w:bookmarkEnd w:id="58"/>
    <w:r>
      <w:rPr>
        <w:rFonts w:cs="Arial"/>
        <w:sz w:val="16"/>
        <w:szCs w:val="20"/>
      </w:rPr>
      <w:tab/>
      <w:t xml:space="preserve">Date of Audit: </w:t>
    </w:r>
    <w:bookmarkStart w:id="59" w:name="AuditStartDate1"/>
    <w:r>
      <w:rPr>
        <w:rFonts w:cs="Arial"/>
        <w:sz w:val="16"/>
        <w:szCs w:val="20"/>
      </w:rPr>
      <w:t>29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