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Coastal Villas Limited - Metlifecare Coastal Villas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Coastal Villas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Coastal Villas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2018</w:t>
      </w:r>
      <w:bookmarkEnd w:id="7"/>
      <w:r w:rsidRPr="009418D4">
        <w:rPr>
          <w:rFonts w:cs="Arial"/>
        </w:rPr>
        <w:tab/>
        <w:t xml:space="preserve">End date: </w:t>
      </w:r>
      <w:bookmarkStart w:id="8" w:name="AuditEndDate"/>
      <w:r w:rsidR="00A4268A">
        <w:rPr>
          <w:rFonts w:cs="Arial"/>
        </w:rPr>
        <w:t>22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To add medical non-acute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Coastal Villas offers rest home and hospital level care for up to 35 residents. The facility has made a request to add hospital non-acute medical services for 30 beds within the care facility area and suitability to add this service is included in this audit. The service is operated by Metlifecare Limited and managed by an experienced registered nurse who has been in the role for three years. The nurse manager is accountable to the village manager who is also a registered nurse.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the general practitioner.  </w:t>
      </w:r>
    </w:p>
    <w:p w:rsidRPr="00A4268A">
      <w:pPr>
        <w:spacing w:before="240" w:line="276" w:lineRule="auto"/>
        <w:rPr>
          <w:rFonts w:eastAsia="Calibri"/>
        </w:rPr>
      </w:pPr>
      <w:r w:rsidRPr="00A4268A">
        <w:rPr>
          <w:rFonts w:eastAsia="Calibri"/>
        </w:rPr>
        <w:t>This audit has resulted in one continuous improvement rating related to the use of quality data analyses and evaluation to assist in making improvements to services offered. There are no areas identified 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analysis and trending of quality data. Information is used to improve services as appropriate. There is well documented analysis and evaluation processes.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 training reflects the skill level of staff. Staff education content showed that training is maintained by staff to allow them to safely manage all residents’ needs.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medical equipment is tested as required. Communal and individual spaces are maintained at a comfortable temperature. External areas are accessible, safe and provide shade and seating. The furniture, equipment, and physical environment allows for safe services to be offered. The care unit has appropriate equipment and bedroom space to allow for the additional management of medical (non-acute) residents.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and encourage a restraint free environment.  Four enablers were in use at the time of audit. There were no restraints in use. Restraint documentation describes a comprehensive assessment, approval and monitoring process with regular reviews, should restraint be used. Policy states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noticeboard in the lounge provides the names and contact details for the resident’s advocate, kaumatua and pacific islander advocate based in the community and support person for spiritual guidance.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There are five residents who are supported to continue attending and being a part of regular community events.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feedback forms meet the requirements of Right 10 of the Code.  Information on the complaint process is provided to residents and families on admission and those interviewed knew how to do so. Forms are available at the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17 complaints of a minor nature have been received over the past year and that actions taken, through to an agreed resolution, are documented and completed within the timeframes. All complaints and follow-up actions are documented in both hardcopy and electronically. Metlifecare’s senior clinical group view all complaints. Action plans showed any required follow up and improvements have been made where possible.  The nurse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the main foyer areas together with information on advocacy services, how to make a complaint and feedback forms and suggestions box.  A copy of the Code of Rights was also observed in each of the resident’s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with one resident sharing two rooms with their spouse.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participating in clubs of their choosing.  Residents have the option of remaining with their own GP and two residents continue to do so.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senior registered nurse interviewed reported that there were currently no residents who affiliated with their Maori culture and there were no barriers in supporting residents who are admitted to the facility who identify as Māori. There is no specific Maori health plan; however, all values and beliefs of the resident would be integrated throughout the resident’s long term care plan.  There is acknowledgement of the Te Whare Tapa Wha model with input from cultural advisers within the local community as required to help support and develop a Maori health care plan for residents.   With the resident’s consent, a referral form is completed and sent to the local rohe for ongoing support.  Guidance on tikanga best practice is available and is supported by staff who identify as Māori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knocking on doors before entering, the use of privacy signs on the bedroom doors of residents when cares are being carried, the welcoming of families when visiting, and day to day conversations between staff and residents. Residents are acknowledged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to support the two residents with English as a second language, due to the use of and regular visits of family members, communication cards and the staff knowing the residents well.  There are five residents with a significant sensory impairment and appropriate equipment and resources were sighted and highlighted in the residents’ long-term care plans reviewed, for example, the use of white communication boards, a larger call bell, providing clear conversation and staff allowing time for the resident to respond.  The residents and staff have also access to a Parkinson’s Disease resource nurse and speech language therapist.  </w:t>
            </w:r>
          </w:p>
          <w:p w:rsidR="00EB7645" w:rsidRPr="00BE00C7" w:rsidP="00BE00C7">
            <w:pPr>
              <w:pStyle w:val="OutcomeDescription"/>
              <w:spacing w:before="120" w:after="120"/>
              <w:rPr>
                <w:rFonts w:cs="Arial"/>
                <w:b w:val="0"/>
                <w:lang w:eastAsia="en-NZ"/>
              </w:rPr>
            </w:pPr>
            <w:r w:rsidRPr="00BE00C7">
              <w:rPr>
                <w:rFonts w:cs="Arial"/>
                <w:b w:val="0"/>
                <w:lang w:eastAsia="en-NZ"/>
              </w:rPr>
              <w:t>Each month an updated activities calendar is provided to each resident’s room along with the names and designation of the senior registered nurse and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Coastal Villas have developed site specific goals which are clearly linked into the organisation’s business and strategic planning process. The documents describe annual and longer term objectives and the associated operational plans. A sample of quarterly reports to the board of directors showed adequate information to monitor performance is reported including financial performance, complaints, quality indicators, resident care, quality projects and initiatives, internal audit results, staff training and education and emerging risks and issues. The nurse manager is also required to report weekly to the senior clinical quality and risk manager regarding all quality and risk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nurse manager who reports to the village manager. Both managers are registered nurses with current annual practising certificates.  They maintain their skills and knowledge via ongoing education and training for both clinical and managerial topics. Examples included attendance at on-site education, actively participating in Metlifecare clinical governance group training and off-site training such as attendance at Capital and Coast District Health Board (CCDHB) meetings, dementia care education (Dementia Wellington), business training and first aid. The nurse manager has been in the role for three years and the village manager has held the position for 14 years. Responsibilities and accountabilities are defined in a job description and individual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members of the management team, the two before mentioned and the maintenance manager. (The nurse manager was not present at the time of audit owing to an unexpected family matter). Management are supported by the organisation’s quality and risk manager and a team of registered nurses which includes a nominated senior registered nurse.  The village manager and senior registered nurse confirmed their knowledge of the sector, regulatory and reporting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CCDHB for Age Related Residential Care and Short Term Residential Care. Thirty-four residents were receiving services under ARCC at the time of audit, being 28 hospital level care and six rest home level care. (Four rest home level care residents who hold an Occupational Right Agreement and live in serviced apartments are included in this number). The service has Ministry of Health approval to have five serviced apartments occupied as rest home level care. The main care facility has 30 dual purpose beds. No residents were under Short Term Residential Care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applied for the 30 beds, located in the care facility which are currently approved as dual purpose beds (either hospital or rest home level care) to also be used for non-acute medical services. The five dedicated rest home level care beds in the personal suites are excluded.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village manager is absent, the nurse manager and organisational operational manager carries out all the required duties under delegated authority. When the nurse manager is absent the senior registered nurse and clinical quality and risk manager, with oversite of the village manager, perform the clinical management role. All staff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pressure injuries and falls, and wound care. Quality improvement data is clearly documented with analysis and evaluation shown. It is used at facility level for the development of specific projects, such as call bell response times and soft tissue injury prevention, to improve services. The manner in which the corrective actions are developed into projects is documented using current best practice to show the analysis, review and evaluation processes. This has gained the service a continuous attainment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management team meetings, at the senior Metlifecare clinical meetings, at board level and at staff meetings. Quality reporting is linked to organisational goals and the quarterly report to the board covers each goal set and what actions have been taken to achieve the goals.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audit activities, implementation of corrective actions and monitoring and reporting of special projects. Relevant corrective actions are developed and implemented to address any shortfalls. Resident and family satisfaction surveys are completed annually. The most recent survey results (July 2018) showed that resident support, family being made to feel welcome, personal safety and security and quantity of food were the service strengths. It was difficult to make direct comparisons with the 2017 satisfaction survey as the wording in many of the questions in the 2018 survey had been changed to enable the organisation to gain a more in-depth response. However, opportunities for improvement were identified in the following areas; complaints management, medical care, availability of care staff and being able to share meals with friends and family. Whilst medical care gained a 96% overall rating, specific areas related to involvement in health-related decisions and explanations and information shared by medical staff scored poorly with an average score of 64%. This was discussed with the GP who stated that a meeting had been held and one corrective action had been developed to increase the time shared with family members and resident review meetings are to be increased throughout the year. The GP stated that the care provided by staff was of a high standard and that staff were always professional and knowledgeable. The GP supported the facility’s application for non-acute medical certification. There were no negative comments received from residents or family members during the interviews conducted on the days of audit. The village manager stated that the action plan to address the findings of the 2018 satisfaction survey is being developed at senior management level with input from the quality team. A draft copy of the work undertaken up to the time of audit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and village manager described the processes for the identification, monitoring, review and reporting of risks and development of mitigation strategies. This is supported by documentation sighted such as area specific risk management plans. Management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or directly into an electronic tracking system. A sample of incidents forms reviewed and the electronic data base showed these were fully completed, incidents were investigated, action plans developed and actions followed-up in a timely manner.  Adverse event data is collated, analysed and reported to the nurse manager, the Metlifecare senior clinical team and the quality committee. Short term care plans are put in place to address any issues that arise, such as the need for a GP review, wound care or other safety interventions. Family are informed of all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senior registered nurse described essential notification reporting requirements, including for pressure injuries.  They advised there has been two notifications of significant events made to the Ministry of Health, using section 31 reporting, since the previous audit. One related to an unstageable pressure injury in April 2017 which is now healed and one regarded a resident who went missing in May 2017. All appropriate documentation was completed including a police report for the missing resident who was found the same day. There have been no coroner’s inquests, issues-based audits or any other notifications to the public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Resident and family interviews confirmed they are happy with way services are delivered by knowledgeable and professional staff.  This was supported by the GP during a telephone interview.</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Education covers a wide range of topics and is appropriate for non-acute medical care. Care staff have either completed or commenced a New Zealand Qualification Authority education programme to meet the requirements of the provider’s agreement with the DHB. Two staff member are internal assessors for the programme. There are three trained and competent registered nurses who are maintaining their annual competency requirements to undertake interRAI assessments. Records reviewed demonstrated completion of the required training and completion of annual performance appraisals. One casual registered nurse also holds current competencies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The staff levels sighted on the rosters matches the interRAI acuity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At least one staff member on duty has a current first aid certificate and there is 24/7 RN coverage. No changes in staffing mix or staffing numbers would be required for non-acute medical care coverage as there is no change in bed numbers. There are dedicated staff who work in the village area from 7am to 10.15pm. During this time these dedicated staff undertake cares for the residents in the personal care suites who hold an occupational right agreement (ORA) but are under the ARCC rest home level care contract. From 10.15 pm to 7am there is a night porter who responds to call bells in the village including the residents in the personal care suites. The night porter has completed the full orientation process and holds a current first aid certificate. During the night if personal cares are required by the rest home level care residents in the personal care suites they are undertaken by a caregiver from the care home and the night porter assists with cover in the care unit. </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from 9.30am to 4pm Tuesday to Saturday. Dedicated laundry staff work 46 hours per week covering seven days and dedicated cleaning staff cover seven days a week. The nurse manager works Monday to Friday and is on call. The on call is shared with the senior registered nurse who also works Monday to Friday.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service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including the support of non-acute medical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medicine chart.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in the care home self-administering medications at the time of audit. Appropriate processes were in place to ensure this was managed in a safe manner.   There are four residents under rest home level care residing in the serviced apartments, staff support with the administration of their medication as prescribed.  Medication was observed to be securely located in each of the resident’s rooms, a pharmacy paper based generated medication sheet signed by the GP and signing sheet was sighted for each resident which included an up to date photo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village chef manager, three other cooks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(expires April 2019). Food temperatures, including for high risk items, are monitored appropriately and recorded as part of the plan. The chef manager has undertaken a safe food handling qualification, with kitchen assistants also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The total numbers of beds would not change with the addition of non-acute medical residents.  The chef manager interviewed stated that they can manage all menus and different food diets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There is a copy of the days menu on each of the dining room tables and care staff were observed to read the menu to residents sitting at the table.   Residents were seen to be given sufficient time to eat their meal in an unhurried fashion and those requiring assistance had this provided with the option of residents having their meals in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falls risk, skin integrity, and nutritional screening as a means to identify any deficits and to inform care planning. This process would also apply for non-acute medical residents. The sample of care plans reviewed had an integrated range of resident-related information.  InterRAI assessments are completed by one of three trained interRAI assessors on site which includes the senior registered nurse.  One registered nurse who was interRAI trained has recently left the facility and one registered nurse interRAI trained is currently on maternity leave.  There are two registered nurses who are booked in for interRAI training in November 2018 and there is also the availability of a casual registered nurse who is interRAI trained.  Thirty of 34 residents have current interRAI assessments completed.  One resident admitted to the facility one day ago is awaiting transfer of their interRAI file and three residents were due for their interRAI assessments on the 11, 16 and 19 August 2018. These are still within timeframe of August to be completed, with two currently in draft.   Residents and families confirmed their involvement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 including the admission and ongoing support of non-acute medical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due to the recent resignation of the diversional therapist is currently provided by a health care assistant who has experience as an activities co-ordinator.  The activities co-ordinator supports residents Tuesday to Saturday from 9.30 am to 4 pm.   A contracted diversional therapist trainer visits the facility once a month and overseas the activities programme.  The facility manager interviewed stated that recruitment of a diversional therapist is currently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Once a week the residents are invited and encouraged to partake in entertainment and activities that are occurring in the village.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The medication electronic advice shows evidence of evaluations of residents who have had prescribed pro re nata (PRN) medications for pain.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a speech language therapist, occupational therapist and services for the older adult.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This was confirmed during staff interviews. Correct use of protective clothing and equipment is managed by the health and safety committee who are involved in staff education and to ensure sufficient supplies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14 March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service has adequate medical and lifting equipment to manage non-acute medical residents.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which staff use if any repairs or maintenance are required. Any requests are appropriately actioned. This was confirmed in the documentation sighted and during an interview with the maintenance person. Residents and family members confirmed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all bedrooms in the care facility having a toilet ensuite and the five personal care suites in the serviced apartment area having full ensuite facilities.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suites enable staff to use lifting equipment if required and are suitable for non-acute medical residents. The bathroom areas in the personal care suites are too small to safely use lifting equipment and there is a lip on the exterior of the shower which would prevent safe use. Consequently, the five approved rest home level care beds in this area have been excluded from medical non-acute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One husband and wife have chosen to use their adjoining rooms as one bedroom and one lounge. Rooms are personalised with furnishings, photos and other personal items displayed. The doorways to the bedrooms in the care unit (30) are of a size that is adequate for all equipment to be safely used and they are suitable for non-acute medical care.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 The spaces are appropriate for non-acute medical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personal care suites use the village dining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by dedicated laundry staff who demonstrated a sound knowledge of the laundry processes, dirty/clean flow and handling of soiled linen. Residents interviewed reported the laundry is managed well and their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services can cater for non-acute medical residents as there will be no increase in bed numbers.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the use of chemicals is also monitored by the supplier of the chemicals who gives the provider a regular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20 March 2004. There has been no change in the footprint of the facility since this time. A trial evacuation takes place six-monthly with a copy sent to the New Zealand Fire Service, the most recent being on 29 May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35 residents.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monthly basis and residents and families reported staff respond promptly to call bells. This is monitored by the nurse manager as part of the ‘call bell project’ using data gained by the off-site company who provides daily electronic reports on the response times.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 night porter undertakes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from opening external windows. Heating is provided by underfloor central heating and electronic ceiling heating which the resident can control in their bedrooms to keep it at a suitable temperature.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gerontology nurse practitioner.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is the designated IPC coordinator, whose role and responsibilities are defined in a job description. Infection control matters, including surveillance results, are reported monthly to the nurse manager and tabled at the quality/risk committee meeting.  This committee includes the nurse manager, IPC coordinator, and representatives from care staff and registered staff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five years.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July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in March 2018 where the facility had an upper respiratory infections outbreak.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 respiratory tract infection, skin, wound, eye, gastro enteritis and other infections.  The IPC coordinator/senior registered nurse reviews all reported infections, and these are documented.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IPC coordinator and reported to all staff. Ninety five percent of residents and 70% of staff in May 2018 consented to the flu vaccine.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27 infections between January 2018 and June 2018.  The residents’ files reviewed highlighted short-term care plans. Surveillance data did not identify any residents who had frequent infections, however residents have been identified with an increased risk of infections due to co-morbidities.  Care staff interviewed demonstrated knowledge of residents who have a higher risk of infections and the interventions required.  Data is benchmarked internally within the group and externally three-monthly.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(March 2018) upper respiratory outbreak where five residents and three staff were affected, was reviewed and demonstrated a thorough process for investigation and follow up.   The outbreak did not require a formal notification to the public health office.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Four enablers were in use. Enablers were the least restrictive and used voluntarily at the resident’s request. A similar process is followed for the use of enablers as is used for restraints. This was confirmed in the residents’ files reviewed for enabler use.  Residents with an enabler have this clearly identified on their care plans and on the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would only be used as a last resort when all alternatives have been explored. This was evident on review of the restraint approval group minutes, files reviewed, and from interview with staff. The restraint register identifies that no restraint has been used since the previous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925"/>
        <w:gridCol w:w="71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are collected, analysed and evaluated.   The results are communicated to all levels of the organisation from the board, clinical senior management, senior quality and risk team and all staff at the facility. Findings from the data collected are used to improve services as required, they are reflected in the annual goals of the facility in their annual quality goals and specific projects are developed to ensure goals are managed and reported against regularly. Two projects reviewed in depth at the time of audit are the call bell response times and the reduction of skin tears and soft tissue injuries.  The call bell response times project is yet to be evaluated but the skin tear and soft tissue injuries project is complete.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is well documented and available electronically and in hard copy. A project related to the reduction of skin tears and soft tissue injuries which occurred between January and June 2018 showed relevant up to date research data formed the basis of the project and a detailed action plan was developed by the quality committee which identified the actions to be taken, who was responsible for each action, timelines were put in place and as each stage progressed and actions were completed they were signed off.  The project evaluation identified that whilst the overall incidents of soft tissue injuries was not reduced, other benefits gained included staff having a better understanding of soft tissue injuries and in-depth training was given to staff regarding preventative measures, such as physiotherapy, input into manual handling education, ensuring all equipment is used correctly, awareness of environmental issues and nutritional needs to aid the resident’s healing process. This has resulted in staff being able to offer services in a knowledgeable manner which identifies that having fully attained the criterion the service can in addition clearly demonstrate a review process covering analysis and reporting of findings, evidence of action taken based on those findings and improvements to service provision and resident safety.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Coastal Villas Limited - Metlifecare Coastal Villas</w:t>
    </w:r>
    <w:bookmarkEnd w:id="58"/>
    <w:r>
      <w:rPr>
        <w:rFonts w:cs="Arial"/>
        <w:sz w:val="16"/>
        <w:szCs w:val="20"/>
      </w:rPr>
      <w:tab/>
      <w:t xml:space="preserve">Date of Audit: </w:t>
    </w:r>
    <w:bookmarkStart w:id="59" w:name="AuditStartDate1"/>
    <w:r>
      <w:rPr>
        <w:rFonts w:cs="Arial"/>
        <w:sz w:val="16"/>
        <w:szCs w:val="20"/>
      </w:rPr>
      <w:t>21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