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Raeburn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Raeburn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August 2018</w:t>
      </w:r>
      <w:bookmarkEnd w:id="7"/>
      <w:r w:rsidRPr="009418D4">
        <w:rPr>
          <w:rFonts w:cs="Arial"/>
        </w:rPr>
        <w:tab/>
        <w:t xml:space="preserve">End date: </w:t>
      </w:r>
      <w:bookmarkStart w:id="8" w:name="AuditEndDate"/>
      <w:r w:rsidR="00A4268A">
        <w:rPr>
          <w:rFonts w:cs="Arial"/>
        </w:rPr>
        <w:t>2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Raeburn Lifecare provides rest home, dementia and hospital level care for up to 54 residents. The service is operated by Oceania and managed by a business and care manager and a newly appointed clinical manager. Residents and families spoke positively about the care provided.</w:t>
      </w:r>
    </w:p>
    <w:p w:rsidRPr="00A4268A">
      <w:pPr>
        <w:spacing w:before="240" w:line="276" w:lineRule="auto"/>
        <w:rPr>
          <w:rFonts w:eastAsia="Calibri"/>
        </w:rPr>
      </w:pPr>
      <w:r w:rsidRPr="00A4268A">
        <w:rPr>
          <w:rFonts w:eastAsia="Calibri"/>
        </w:rPr>
        <w:t xml:space="preserve">This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general practitioner and the proposed provider’s representative.  </w:t>
      </w:r>
    </w:p>
    <w:p w:rsidRPr="00A4268A">
      <w:pPr>
        <w:spacing w:before="240" w:line="276" w:lineRule="auto"/>
        <w:rPr>
          <w:rFonts w:eastAsia="Calibri"/>
        </w:rPr>
      </w:pPr>
      <w:r w:rsidRPr="00A4268A">
        <w:rPr>
          <w:rFonts w:eastAsia="Calibri"/>
        </w:rPr>
        <w:t>This audit has resulted in areas requiring improvements relating to archived records management, documented assessments, monitoring of challenging behaviours, evaluation of care, medication administration including self-administration, restraint use consent and documentation.</w:t>
      </w:r>
    </w:p>
    <w:p w:rsidRPr="00A4268A">
      <w:pPr>
        <w:spacing w:before="240" w:line="276" w:lineRule="auto"/>
        <w:rPr>
          <w:rFonts w:eastAsia="Calibri"/>
        </w:rPr>
      </w:pPr>
      <w:r w:rsidRPr="00A4268A">
        <w:rPr>
          <w:rFonts w:eastAsia="Calibri"/>
        </w:rPr>
        <w:t>This facility is one of several being purchased at this time by Heritage Lifecare Limited (HLL) following the purchases of 16 other facilities since late 2017. HLL is a national provider with senior staff experienced in rest home, hospital and dementia level services. The HLL National Manager Clinical and Quality reported in June 2018 that HLL have a senior project team managing the transition of each new facility to HLL processes over a period of six months. The Raeburn management have been informed of the purchase date and the transition plans by HLL management. The transition will include the changeover to HLL; infrastructure support, policies, procedures and processes, and information technology systems. Workshops will be held for Raeburn staff as part of the transition plan.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requirements of the Code are met including complaints management.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scope, direction, goals, values and mission statement of the organisation are well known and followed.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with use of internal and external areas on site used for storage.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appropriate care is provided for the individual needs of the residents.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Raeburn Lifecare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The bulk of the laundry is undertaken offsite at another Oceania facility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Families and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Two enablers and five restraints were in use at the time of audit.  A comprehensive assessment, approval and monitoring process with regular review is described in policy.  Use of enablers is voluntary for the safety of residents in response to individual requests. Staff demonstrated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8"/>
        <w:gridCol w:w="1280"/>
        <w:gridCol w:w="9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At the time of audit staff in the dementia unit were observed to offer choices and options to the residents in the dementia unit also allowing for the resident to respond.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and were evidenced in all residents’ files reviewed, including enacted enduring power of attorney documents for all residents residing in the dementia unit.  Staff were observed to gain consent for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clinical manager interviewed stated that the residents’ meetings are facilitated by an external person from the local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and concerns policy and associated forms meet the requirements of Right 10 of the Code.  There is a flowchart associated with the policy to assist staff in understanding the process for complaints management. Information on the complaint process is provided to residents and families on admission and those interviewed knew how to do so.  The local health and disability advocate is a regular visitor to the facility at the invitation of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the complaints policy and open disclosure is provided to all staff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up to date complaints register reviewed showed that five complaints have been received this year and that actions taken, through to an agreed resolution, are documented and completed within the timeframes.  Written and verbal complaints are documented and responded to. Action plans show any required follow up and improvements have been made where possible.  The business and care manager (BCM) is responsible for complaints management and follow up, and was well versed in the principles of open disclosure.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interviewed report being made aware of the Code and the Nationwide Health and Disability Advocacy Service (Advocacy Service) as part of the admission information provided for residents entering dementia, hospital and rest home levels of care and discussions with staff.   The Code is displayed in several main areas throughout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provider interviewed is an experienced aged care sector provider.  Existing clinical staff are transitioning to the new provider following the sale and they have a good understanding of the requirements of the Code as part of their existing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Residents are encouraged to maintain their independence by partaking in community activities.  There are three residents who choose to have their own GP.  Care plans included documentation related to the resident’s abilities, and strategies to maximise independence.  The residents in the dementia unit have access to a secure garden from the main dining/lounge area. The residents in the hospital and rest home area have access to several lounges and outside areas where they can meet with the families and visitors, other than their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clinical manager interviewed reported that there was currently no resident who affiliated with their Maori culture. There are no barriers in supporting residents who are admitted to the facility who identify as Māori.  There is no specific current Māori health plan, however all values and beliefs would be acknowledged with the support of the Te Whare Tapa Wha model and evidenced and integrated into long-term care plans with input from cultural advisers within the local community as required.  Guidance on tikanga best practice was available and supported by staff who identify as Māori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knocking on bedroom doors before entering, acknowledgement of family visiting, and general day to day conversations between staff,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at the time of audit able to speak English.  Staff are able to provide interpretation as and when needed and include the use of family members as appropriate.  There was one resident identified who has a significant sensory impairment and appropriate resources and equipment was observed to support the resident which included the use of a whiteboard to assist with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purpose, values, scope, direction and goals are clearly displayed in Raeburn’s reception area and reflect a person-centred approach. The monthly report information is collated at the support office and is used to inform decisions made at the operational level and the monthly board reports. Feedback from the board comes to the Raeburn BCM and clinical manager via the clinical quality and the operations managers. The business and care manager (BCM) works to associated operational plans. Verbal updates are provided to the BCM by Raeburn’s head of departments weekly.  A sample of monthly statistical reports provided to the BCM by the support office showed adequate information to monitor performance is reported including financial performance, quality and clinical performance and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Collated benchmarked clinical indicator data is provided to each facility in graph form indicating place on the league tables across facilities in the Oceania group.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business and care manager (BCM) who holds relevant qualifications and has been in the role for one year. Responsibilities and accountabilities are defined in a job description and individual employment agreement.  The BCM is supported by a clinical manager who is a recently graduated, well qualified registered nurse. The BCM confirmed knowledge of the sector, regulatory and reporting requirements and maintains currency through regular education and networking in the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local DHB for respite, rest home, dementia and hospital level care. Seventeen residents were receiving rest home services, 13 residents were receiving hospital level care, and six residents were receiving dementia level care under the contract ARRC contract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provider is Heritage Lifecare Limited (HLL), an established New Zealand aged care provider, operating more than 2042 beds in the sector. The acquisition of Raeburn is part of the next round of purchases currently underway which will add several more facilities across the country to HLL group.  The National Manager Clinical and Quality reported (July 2018) that the same process used towards the end of 2017 for a series of acquisitions will be used for the purchase of the Raeburn facility and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structure document sighted details the reporting lines to the board in place as at 30 November 2017.  </w:t>
            </w:r>
          </w:p>
          <w:p w:rsidR="00EB7645" w:rsidRPr="00BE00C7" w:rsidP="00BE00C7">
            <w:pPr>
              <w:pStyle w:val="OutcomeDescription"/>
              <w:spacing w:before="120" w:after="120"/>
              <w:rPr>
                <w:rFonts w:cs="Arial"/>
                <w:b w:val="0"/>
                <w:lang w:eastAsia="en-NZ"/>
              </w:rPr>
            </w:pPr>
            <w:r w:rsidRPr="00BE00C7">
              <w:rPr>
                <w:rFonts w:cs="Arial"/>
                <w:b w:val="0"/>
                <w:lang w:eastAsia="en-NZ"/>
              </w:rPr>
              <w:t>The transition plan which was commenced in late 2017 is led by an experienced and well-qualified project team who are specifically focussing on the integration of the current facilities into the HLL group. This includes provision of infrastructure support such as providing information technology capability including hardware and software. The workshops to introduce documentation, and the new HLL systems and processes have already commenced for newly purchased facilities and are planned for Raeburn and the other facilities being purchased at this time.  The HLL project team plan to work with the Raeburn management team to ensure a smooth transition within the first three months.</w:t>
            </w:r>
          </w:p>
          <w:p w:rsidR="00EB7645" w:rsidRPr="00BE00C7" w:rsidP="00BE00C7">
            <w:pPr>
              <w:pStyle w:val="OutcomeDescription"/>
              <w:spacing w:before="120" w:after="120"/>
              <w:rPr>
                <w:rFonts w:cs="Arial"/>
                <w:b w:val="0"/>
                <w:lang w:eastAsia="en-NZ"/>
              </w:rPr>
            </w:pPr>
            <w:r w:rsidRPr="00BE00C7">
              <w:rPr>
                <w:rFonts w:cs="Arial"/>
                <w:b w:val="0"/>
                <w:lang w:eastAsia="en-NZ"/>
              </w:rPr>
              <w:t>It is expected that the senior team will remain in place at each facility and that existing staff will transfer to HHL.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HHL has notified the relevant District Health Board prior to this provisional audit being undertaken.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BCM is absent, the clinical manager carries out all the required duties under delegated authority, with the support of the regional clinical quality and the operations managers. During absences of key clinical staff, the clinical management is overseen by the RN on duty or the regional clinical quality manager who is experienced in the sector and able to take responsibility for any clinical issues that may arise. Staff reported the current arrangements work well. </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provider is not planning any staffing changes.  Existing cover arrangements for the day to day operations will remain in place, with access to the regional operations managers. The prospective owner understands the needs of the different certified service types and understands the Age Residential Related Care (ARRC) agreement, including in relation to responsibilities of the ARRC manager to meet section D17 of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pressure injuries, infections and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various monthly meetings, such as team meetings, quality meetings, health and safety meetings, the RNs meeting and staff meetings. Staff reported their involvement in quality and risk management activities through audit activities, incident investigation, and meeting involvement. Relevant corrective actions are developed and implemented to address any shortfalls. Resident and family satisfaction surveys are completed annually. The most recent survey in February this year showed satisfaction with the facility and medical services and some areas for improvement required with hotel services. Relevant actions have been taken in response to the results. As the response rate was only 29% another survey has been posted recently.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is provided to all staff annually on the quality and risk management system (eg, incidents, accidents, complaints and hazards). </w:t>
            </w:r>
          </w:p>
          <w:p w:rsidR="00EB7645" w:rsidRPr="00BE00C7" w:rsidP="00BE00C7">
            <w:pPr>
              <w:pStyle w:val="OutcomeDescription"/>
              <w:spacing w:before="120" w:after="120"/>
              <w:rPr>
                <w:rFonts w:cs="Arial"/>
                <w:b w:val="0"/>
                <w:lang w:eastAsia="en-NZ"/>
              </w:rPr>
            </w:pPr>
            <w:r w:rsidRPr="00BE00C7">
              <w:rPr>
                <w:rFonts w:cs="Arial"/>
                <w:b w:val="0"/>
                <w:lang w:eastAsia="en-NZ"/>
              </w:rPr>
              <w:t>Oceania policies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Raeburn has a system for ensuring staff are provided with updates on centrally produced new and revised controlled documents including policies and procedures. Staff reported they have ready access to policies and procedures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annual audit schedule is managed by the BCM who delegates activity as relevant to staff roles. The sighted schedule was up to date and feedback has been provided to staff on the outcomes and corrective actions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described the processes for the identification, monitoring, review and reporting of risks and development of mitigation strategies. The BCM has attended the Oceania update on the Health and Safety at Work Act (2015).   </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transition phase, HLL policies and procedures will be introduced.  The National Manager Clinical and Quality anticipates, a new software system will be introduced to incorporate risk management including adverse event reporting, care planning and client management, within six months of the purchase.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a generic annual quality plan in place which outlines goals and objectives for the coming year.  Each site personalises this to their own facility.  The plan includes internal audits and improvement activities and projects.  The HLL quality plan will be introduced to managers at the proposed regional study days to occur during the transition period. Reporting against the quality plan occurs monthly through the operational management structure.  Raeburn clinical staff will be included in the new HLL national clinical governance group, the introduction of which is a key HLL strategy for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serious incidents/accidents are reported to the clinical manager or RN on duty before the end of the shift on which they occur. Staff initially document adverse and near miss events on an accident/incident form and then the information is entered into the Oceania electronic incident management system via the organisation’s intranet by the clinical manager. A sample of incidents reviewed showed these were fully completed, incidents were investigated, action plans developed and actions followed-up in a timely manner.  Sentinel events are investigated by the BCM and the clinical manager. Adverse event data is collated, analysed, benchmarked and reported monthly and provided to Raeburn’s BCM and clinical manager by the support office.</w:t>
            </w:r>
          </w:p>
          <w:p w:rsidR="00EB7645" w:rsidRPr="00BE00C7" w:rsidP="00BE00C7">
            <w:pPr>
              <w:pStyle w:val="OutcomeDescription"/>
              <w:spacing w:before="120" w:after="120"/>
              <w:rPr>
                <w:rFonts w:cs="Arial"/>
                <w:b w:val="0"/>
                <w:lang w:eastAsia="en-NZ"/>
              </w:rPr>
            </w:pPr>
            <w:r w:rsidRPr="00BE00C7">
              <w:rPr>
                <w:rFonts w:cs="Arial"/>
                <w:b w:val="0"/>
                <w:lang w:eastAsia="en-NZ"/>
              </w:rPr>
              <w:t>Resident incidents and accidents are monitored and reported on through the clinical and quality meetings and staff accidents at the 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described essential notification reporting requirements, including for pressure injuries.  These notifications are made by the general manager clinical quality. The BCM advised there has been a recent infection outbreak notification in March of this year made to the local DHB and the Ministry of Health. </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There are no known legislative or compliance issues impacting on the service. The prospective owner (HLL) is aware of all current health and safety legislative requirements and the need to comply with these. The HLL national manager clinical and quality interviewed was able to verbalise knowledge and understanding of actions to meet legislative and DHB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human resources management policies and processes are based on good employment practice and relevant legislation. The recruitment process includes referee checks, police vetting and validation of qualifications, practising certificates (APCs), and driving licences where required.  An electronic system is used to track each step of the recruitment and employment system which provides alerts to managers involved in the employment process to ensure all relevant actions are taken.  The annual practising certificates are tracked through this system to ensure staff are current.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staff orientation programme includes all necessary components relevant to the role. Staff reported that the orientation process, which included being ‘buddied’,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First aid certificate holders are indicated on rosters and retraining is monitored to ensure currency of certification.  The care staff have either completed or commenced a New Zealand Qualification Authority education programme to meet the requirements of the provider’s agreement with the DHB.  Staff working in the dementia care area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staffing policy followed reflects this standard and the contract requirements.  An RN is onsite 24 hours a day, seven days a week. The Oceania electronic tool based on the Indicators for Safe Staffing is used by the BCM in conjunction with the clinical manager to prepare the rosters fortnightly in advance.  Unplanned absences are covered by casual staff and staff doing extra shifts and hours are tracked for staff health and safety. The staffing depends on the number and acuity of residents and incorporates at least one staff member with a first aid certificate on each shift. </w:t>
            </w:r>
          </w:p>
          <w:p w:rsidR="00EB7645" w:rsidRPr="00BE00C7" w:rsidP="00BE00C7">
            <w:pPr>
              <w:pStyle w:val="OutcomeDescription"/>
              <w:spacing w:before="120" w:after="120"/>
              <w:rPr>
                <w:rFonts w:cs="Arial"/>
                <w:b w:val="0"/>
                <w:lang w:eastAsia="en-NZ"/>
              </w:rPr>
            </w:pPr>
            <w:r w:rsidRPr="00BE00C7">
              <w:rPr>
                <w:rFonts w:cs="Arial"/>
                <w:b w:val="0"/>
                <w:lang w:eastAsia="en-NZ"/>
              </w:rPr>
              <w:t>A potential issue was identified on the day of audit with two syringe drivers being available for use with residents, although no RNs on staff trained in their use. The need to ensure RNs are trained as competent to use the pump before a person is admitted to the facility was emphasised.</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owner intends to maintain the current staffing levels and skill mix. HLL has a documented policy based on the Guidelines for safe staffing level and indicators. The representative for HLL interviewed was able to confirm understanding of the required skill mix to ensure rest home, hospital and dementia care residents’ needs are met. The organisation already provides the range of levels of care (hospital - geriatric/medical, dementia, rest home and psychogeriatric services) and recognises the competencies and contractual obligations to be met when delivering these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readily retrievable using a cataloguing system; however, the outside archived system was not stored in an easy to access formalised way, secure from other elements. The document destruction bin was not protected from the environment and was accessible to the public.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(DSL) Service.  Residents admitted to the dementia care services have been assessed by a specialist.  Prospective residents and/or their families are encouraged to visit the facility prior to admission and are provided with written information about the service and the admission process.   The organisation seeks updated information from DSL and/or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Admissions agreements were sighted for residents admitted to the dementia unit and had been signed by the residents enacted enduring power of attorney.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communication between the GP, facility, family and community support services.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medication competent to perform the function they manage, however a medication observation round during the audit did not show safe administration of medication by a competent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recorded on the medicine chart.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medications at the time of audit. Not all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manager who is one of three cooks and the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has been issued which expires on March 2019. Food temperatures, including for high risk items, are monitored appropriately and recorded as part of the plan. The kitchen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A resident satisfaction folder was sighted in the residents’ rest home dining lounge to encourage residents and families to give feedback and suggestions about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DSL is advised to ensure the prospective resident and family are supported to find an appropriate care alternative. If the needs of a resident change and they are no longer suitable for the services offered, a referral for reassessment to the DSL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as a means to identify any deficits and to inform care planning. The sample of care plans reviewed had an integrated range of resident-related information.  All residents have a current interRAI assessment completed by one of four trained interRAI assessors on site one of which includes the clinical manager.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For residents admitted to the dementia unit behaviour management plans are developed based on triggers and interventions of challenging behaviours, however not all residents had a behaviour management plan (see criterion 1.3.7).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activities co-ordinator who is supported through regular contact with a trained diversional therapist holding the national Certificate in Diversional Therapy employed in other facilities for the organisation.  The activities co-ordinator overall supports residents Monday to Friday from 8 am to 4.30 pm and more specifically supports residents in the dementia unit from 10 am to 11 am and 1.30 pm to 3.30pm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however not all residents had an evaluation to support the resident’s challenging behaviours (see criterion 1.3.8.2) or a supporting 24-hour challenging behaviour plan.  The resident’s activity needs are evaluated monthly and as changes occur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satisfaction survey. Residents interviewed confirmed they find the programme interactive.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from the secure dementia unit are specific to the needs and abilities of the people living there. Activities are offered at times when residents are most physically active and/or restless.  This includes one to one and distraction, reminiscing and the dementia unit kitten (re: pet therapy).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however, not all long care plans or challenging behaviours identified for residents had been evaluated.   Where progress is different from expected, the service responds by initiating changes to the plan of care. Examples of short term care plans being consistently reviewed, and progress evaluated as clinically indicated were noted for infections, wounds and falls.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speech language therapist, dietician and a wound nurse specialist. The resident and the family/whānau are kept informed of the referral process, as verified by documentation and interviews. Any acute/urgent referrals are attended to immediately, such as sending the resident to accident and emergency in an ambulance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including policies and guidelines.  Training is provided to all staff at orientation and annually on the management of waste and hazardous substance.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signage is displayed where necessary. There are designated cleaners who work with cleaning chemicals. An external company is contracted to supply and manage all chemicals and cleaning products and they also provide relevant training for staff. Material safety data sheets supplied by the external contractor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such as aprons, masks and gloves and staff were observed using this. The storing of full oxygen cylinders set further apart from the empty cylinders is suggested to ensure staff do not inadvertently collect an empty cylinder in an emergency.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which expires in 12 June 2019, is publicly displayed in reception.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is hazard free,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including the ability for purposeful walking for dementia service residents as they are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undertaken a period of due diligence, including building reports, in preparation for purchase of each facility.  There are presently no plans for any environmental changes in the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which are shared by residents.   This includes stand-alone toilets and shower rooms.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Raeburn provides adequate personal space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family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in the garden on the patios, or in their own rooms if required.  Furniture is appropriate to the setting and residents’ needs. Family members were observed as being easily accommodated within the communal areas visiting and at mealtimes assisting residents with their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appropriate use of chemicals and cleaning solutions. These include information about how to handle these products and directions to use material data safety sheets from the product provider and use of appropriate protective equipment and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is provided to all staff annually on the use of chemicals and to care and laundry staff on laundry protocols/systems. </w:t>
            </w:r>
          </w:p>
          <w:p w:rsidR="00EB7645" w:rsidRPr="00BE00C7" w:rsidP="00BE00C7">
            <w:pPr>
              <w:pStyle w:val="OutcomeDescription"/>
              <w:spacing w:before="120" w:after="120"/>
              <w:rPr>
                <w:rFonts w:cs="Arial"/>
                <w:b w:val="0"/>
                <w:lang w:eastAsia="en-NZ"/>
              </w:rPr>
            </w:pPr>
            <w:r w:rsidRPr="00BE00C7">
              <w:rPr>
                <w:rFonts w:cs="Arial"/>
                <w:b w:val="0"/>
                <w:lang w:eastAsia="en-NZ"/>
              </w:rPr>
              <w:t>The bulk of the laundry is transported in laundry trollies offsite to another Oceania facility for washing and drying.  Washing is returned dried and folded to a dedicated laundry room for sorting and delivery to residents.  A small amount of woollens, hip protectors and urgently required residents’ clothes are washed and dried outside on washing lines on site or, by family members if requested. Care assistants (HCAs) and cleaning staff demonstrated a sound knowledge of the laundry processes, dirty to clean flow and handling of soiled linen. The Oceania coloured bucket/bag system is used to differentiate between soiled and non-soiled items.  Resident and families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external provider review and staff and resident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policies and guidelines for emergency planning, preparation and response are displayed and known to staff. Raeburn’s training programme includes annual training on security and health and safety and, six monthly training on fire safety and emergency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Disaster and civil defence planning guides direct the facility in their preparation for disasters and describe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originally approved on 1 November 1989 by the New Zealand Fire Service (NZFS) and a letter from the NZFS confirming this is dated 30 April 2010.  A trial evacuation takes place six-monthly with a copy sent to the New Zealand Fire Service, the most recent being on 30 May 2018, with no issues. The orientation programme includes fire and security training.  Staff confirmed their awareness of the emergency procedures and the special needs of people with dementia in an emergency. The facility has fire sprinklers throughout the complex.</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a gas BBQ were sighted and meet the requirements for the 60 residents. Water storage tanks are located around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system audits are completed on a regular basis and residents and families reported staff responded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night staff maintain security at night. The need to ensure the sprinkler room is kept secure at all times was highlighted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most rest home and hospital rooms have doors that open onto outside garden or small patio areas. Electrical heating is provided in residents’ rooms and in the communal areas. The memory loss (dementia) unit has electrical air conditioning.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GP, pharmacy and main local hospital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by the clinical manager to the business care manager and tabled at the quality/risk committee meeting.  This committee includes the business care manager, clinical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if an outbreak is placed at the main entrance to the facility and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two years.  She has undertaken regular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confirmed the availability of resources to support the programme and any outbreak of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April of 2018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a gastroenteritis outbreak occurred in March 2018.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infections,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clinical manager and reported to all staff.  The facility has had a total of 12 infections since January 2018.  It was noted that there were no infections for the months of January, February, March or April of 2018.  There were no residents identified that required frequent antibiotics. Residents’ files reviewed did highlighted short-term care plans to support those residents on antibiotics.   Care staff interviewed demonstrated knowledge of residents who have a higher risk of infections and the interventions required.  In April 2018, 21 residents and 10 staff consented to the flu vaccine and 20 residents consented to the shingles vaccine.    Data is benchmarked externally within the organisation.   Benchmarking has provided assurance the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outbreak 1 March 2018 – 13 March 2018 with four residents and eight staff effected was reviewed and demonstrated a thorough process for investigation and follow up.  Learnings from the event have now been incorporated into practice, with additional staff education implemented.  The four residents effected were not included in the March monthly surveillance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policies and procedures meet the requirements of the restraint minimisation and safe practice standards and provide guidance on the safe use of both restraints and enablers.  Policies include having an onsite restraint coordinator (position description for the role sighted), a Raeburn restraint approval group and oversight by the Oceania national restraint approval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restraints at Raeburn are bed rails with protectors, chair briefs and lap belts. Restraints were being used by residents in the rest home and hospital. If a restraint is used consent is required by the resident’s general practitioner and advocate/EPOA/welfare guardian on their behalf. Residents consent to enabler use themselves. The use of restraints and enablers are to be reviewed regularly and at least three monthly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The approval group meets six monthly to consider the requirements related to restraint monitoring and quality review and the needs of the resident and whether the restraint / enabler is meeting their needs. (Refer criterion 2.2.5.1)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Raeburn’s clinical manager in her role as restraint coordinator provides support and oversight for enabler and restraint management in the facility and demonstrated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five residents were using restraints and two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policies and procedures in place to guide staff in the safe use of restraint and its minimisation as well as for use of enablers.  These policies are implemented across the group and a small number of restraint devices are approved for use following assessment.  The prospective provider is experienced in the requirements of the standard, as it pertains to aged residential care and dementia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Approval for restraint use occurs following consent by the family, assessment by the RN and the clinical assessment / opinion of the GP, (Refer criterion 2.2.2.1) or other allied health professional.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safety policy refers to incorporating resident’s culture, values and beliefs into the restraint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The Raeburn restraint approval group, made up of the restraint coordinator and other registered nurses (RNs), are responsible for the approval of the use of restraints and the restraint processes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three out of five of the residents for whom restraint were being used had included all the requirements of the Standard included in their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undertakes the initial assessment with the health care assistants (HCAs), restraint coordinator’s involvement, and input from the resident’s family/EPOA. The restraint coordinator described the documented process.  Families confirmed their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policy requires the resident’s general practitioner to be involved in the final decision on the safety of the use of the restraint, however a signature to confirm the general practitioner’s involvement and consent with this was lacking in two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identified the underlying cause, history of restraint use, cultural considerations, alternatives and associated risks. The desired outcome was to ensure the resident’s safety and security. </w:t>
            </w:r>
          </w:p>
          <w:p w:rsidR="00EB7645" w:rsidRPr="00BE00C7" w:rsidP="00BE00C7">
            <w:pPr>
              <w:pStyle w:val="OutcomeDescription"/>
              <w:spacing w:before="120" w:after="120"/>
              <w:rPr>
                <w:rFonts w:cs="Arial"/>
                <w:b w:val="0"/>
                <w:lang w:eastAsia="en-NZ"/>
              </w:rPr>
            </w:pPr>
            <w:r w:rsidRPr="00BE00C7">
              <w:rPr>
                <w:rFonts w:cs="Arial"/>
                <w:b w:val="0"/>
                <w:lang w:eastAsia="en-NZ"/>
              </w:rPr>
              <w:t>Partially documented assessments were sighted in the records of residents who were using a restraint (see RMSP 2.2.5).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the RNs, HCAs and family members, such as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for example overnight two hourly observation of residents with bedrails and during the day ongoing observation of residents with chair briefs. On the day of audit four out of five residents had consistent two hourly monitoring of the restraint use.   Records of monitoring when a restraint is in use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by the clinical manager and reviewed at each Raeburn restraint approval group meeting. The register was reviewed and contained all residents currently using a restraint and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within the person-centred care plan and interRAI reviews, six monthly restraint evaluations and at the restraint approval group meetings.  A daughter interviewed confirmed her involvement in the evaluation process, her satisfaction with the consultation by staff and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partially documented assessments sighted in the records of three out of five residents who were using a restraint did not compromise resident safety, however they had not been noticed by staff doing the evaluations of these people. Therefore, the evaluations occurred but were of a poor quality. (see RMSP 2.2.5).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Raeburn restraint advisory group undertakes a six-monthly review of all restraint use which includes all the requirements of this Standard. The national Oceania restraint group does an annual review of restraint use across the organisation benchmarking each facility and works with individual rest homes to minimise restraint use. </w:t>
            </w:r>
          </w:p>
          <w:p w:rsidR="00EB7645" w:rsidRPr="00BE00C7" w:rsidP="00BE00C7">
            <w:pPr>
              <w:pStyle w:val="OutcomeDescription"/>
              <w:spacing w:before="120" w:after="120"/>
              <w:rPr>
                <w:rFonts w:cs="Arial"/>
                <w:b w:val="0"/>
                <w:lang w:eastAsia="en-NZ"/>
              </w:rPr>
            </w:pPr>
            <w:r w:rsidRPr="00BE00C7">
              <w:rPr>
                <w:rFonts w:cs="Arial"/>
                <w:b w:val="0"/>
                <w:lang w:eastAsia="en-NZ"/>
              </w:rPr>
              <w:t>Regular restraint meetings and monthly statistical reports are provided to Raeburn managers from the support office and individual use of restraint use is reported to the quality improvement, RN and staff meetings.  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changes to policies, guidelines, education and processes are implemented if indicated. Data reviewed, minutes and interviews with staff and the clinical manager in her role as the restraint coordinator confirmed that the use of restraint is used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six-monthly internal audit that is carried out also informs the relevant meetings, however incomplete documentation on some residents’ files was not identified in recent restraint use internal audits (see RMSP 2.2.2).   This included a lack of designation being recorded by the RN doing the initial assessment for one person, dates not included with at least two signatures of the consent family member, relationship of the EPOA to the resident not being documented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93"/>
        <w:gridCol w:w="1280"/>
        <w:gridCol w:w="5369"/>
        <w:gridCol w:w="154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time of audit, current files were observed as being kept secure and only accessible to authorised people.  The outside storage/maintenance shed, was observed to be locked; however, the archived boxes with residents’ files were directly placed on top of each other in no formalised order and were surrounded by maintenance equipment and supplies.</w:t>
            </w:r>
          </w:p>
          <w:p w:rsidR="00EB7645" w:rsidRPr="00BE00C7" w:rsidP="00BE00C7">
            <w:pPr>
              <w:pStyle w:val="OutcomeDescription"/>
              <w:spacing w:before="120" w:after="120"/>
              <w:rPr>
                <w:rFonts w:cs="Arial"/>
                <w:b w:val="0"/>
                <w:lang w:eastAsia="en-NZ"/>
              </w:rPr>
            </w:pPr>
            <w:r w:rsidRPr="00BE00C7">
              <w:rPr>
                <w:rFonts w:cs="Arial"/>
                <w:b w:val="0"/>
                <w:lang w:eastAsia="en-NZ"/>
              </w:rPr>
              <w:t>The confidential secure document destruction ‘wheelie bin’ was observed to be padlocked; however, was sighted in the garden outside the office and accessible to the public and environmental elements.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consumer information was secured or stored appropriately.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consumer information is easily accessible when required and protected from the risk of damage to documents and secure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could recall the proper procedures required when administering and supporting residents with medication.  While observing the medication round at the time of audit the registered nurse who has an up to date medication competency was observed to not check the robotic medication on the electronic device before administering to one resident, not observe four residents taking their medication, and was observed to extract slow release medication from its capsule and administer to a resident; this medication was highlighted in the electronic device to be taken whole.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processes were not undertaken in accordance with the organisational policy and good practice in relation to checking and administration of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safe medication management.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an assessment completed to assess for competency of self-administration of medication.  The assessment was signed by the admitting RN and GP at the time of admission in January 2018, however the required subsequent three-monthly reviews have not been completed.  The clinical manager interviewed stated that there is no written record to show the resident has taken their medication or that the registered nurse has asked if the resident has taken their medication.  The medication is also not stored in a locked box.   In discussions with the resident and staff it was evident that the resident was competent in the self-administering and a locked box was provided at the time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self-administering their medicines did not have an up to date assessment to show competence to do so, nor had their medications stored in a locked box.</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who are self-administering medicines are meeting the facility’s policy requirements to do so safely.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individual details and client specific initial care plans and long-term care plans.  Residents have an interRAI assessment completed by one of four trained interRAI assessors on site.  Staff interviewed stated that they knew the residents very well and were able to identify and meet their needs.  Residents and families confirmed their involvement in the assessment process.  However, one resident admitted 10 January 2018 did not have their initial long-term care plan completed until 18 June 2018; one resident admitted 16 May 2018 did not have their initial interRAI completed until the 29 June 2018; one resident admitted 20 March 2018 did not have a completed initial interRAI assessment or long-term care plan until 18 June 2018.  One resident admitted on the 18 February 2018 did not have an initial interRAI assessment or long-term care plan completed until 19 June 2018.  An email sighted showed evidence of the facility clinical manager on the 12 June 2018 requesting transfer of the interRAI assessment.  An email reply from DSL stated that they were unaware that the resident had transferred from another facility and now resided at Raeburn.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long-term care plans and three interRAI assessments were not completed with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long-term care plans and interRAI assessments are completed within the required timeframes to meet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had an individual challenging behaviour form that identified the behaviour, intervention and outcome.  Staff interviewed stated that they knew the residents very well and were able to identify and meet their needs.  Residents and families confirmed their involvement in the assessment process and care provided.  Sampling of the dementia unit files reviewed was increased to include all six residents currently admitted in the dementia unit.  Three residents admitted, one on the 20 March 2018, 18 February 2018, 18 November 2016 did not evidence a 24-hour ‘behaviour clock’ to support management of challenging behaviours for the resident across the 24-hour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residents’ files reviewed in the dementia unit did not have a 24-hour behaviour clock to support challenging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in the dementia unit have a 24-hour ‘challenging behaviour clock’ to meet contractual requirements and support management of behaviour.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that they knew the residents very well and were able to identify and meet their needs.  Residents and families confirmed their involvement in the assessment process and care provided.  One resident admitted on the 20 March 2018 does not have a current six-monthly evaluation as the resident’s interRAI and long-term care plan were not completed until the 16 June 2018.  One resident admitted on the 18 February 2018 also does not have an evaluation as the resident’s long-term care plan as the clinical manager interviewed stated that the long-term care plan was not completed until the resident’s interRAI was transferred to the facility following an email request to DSL on the 12 June 2018 (see criterion 1.3.3.3).  The dementia unit files were reviewed for all six residents currently admitted in the dementia unit.   Three residents (one admitted on the 20 March 2018, one on the 18 February 2018 and one on 8 November 2016), did not have an overall evaluation of the resident’s individual challenging behaviour episodes.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16 residents’ files reviewed did not have an evaluation completed to support the long-term care plan. Three of six files reviewed in the dementia unit did not have an overall review completed evaluating the resident’s challenging behaviours identified on the challenging behaviour monitoring forms.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evaluations are completed to meet required timeframes and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policies require the general practitioner to indicate consent for individual use of restraint for their patients on the Oceania form provided. Three out of five residents had the required consent indicated by the general practitioners’ signatures, however two residents did not. One RN had not indicated their designation on the assessment although the clinical manager recognised the signature.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out of five residents for whom restraints were being used did not have their general practitioner’s sign off as part of the consent process, and one RN did not indicate their designation, as required to support safe restraint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doctor concerned has been involved in the decision process to provide restraint and consents to this practice for all residents concerned and the designation of staff involved is included.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out of five residents for whom restraint was being used did not have the documentation required completed accurately including no designation of the RN, and no GP signature indicating consent to the restraint. These gaps in documentation had not been identified by either the internal audit or the evaluation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and quality review of restraint use was inadequate for three out of five residents, such that a lack of complete Oceania documentation was not noticed or rectified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required restraint use documentation has been completed for all residents for whom restraints are being used.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Raeburn Lifecare</w:t>
    </w:r>
    <w:bookmarkEnd w:id="58"/>
    <w:r>
      <w:rPr>
        <w:rFonts w:cs="Arial"/>
        <w:sz w:val="16"/>
        <w:szCs w:val="20"/>
      </w:rPr>
      <w:tab/>
      <w:t xml:space="preserve">Date of Audit: </w:t>
    </w:r>
    <w:bookmarkStart w:id="59" w:name="AuditStartDate1"/>
    <w:r>
      <w:rPr>
        <w:rFonts w:cs="Arial"/>
        <w:sz w:val="16"/>
        <w:szCs w:val="20"/>
      </w:rPr>
      <w:t>1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