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South Canterbury District Health Board - Talbot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South Canterbury District Health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Talbot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July 2018</w:t>
      </w:r>
      <w:bookmarkEnd w:id="7"/>
      <w:r w:rsidRPr="009418D4">
        <w:rPr>
          <w:rFonts w:cs="Arial"/>
        </w:rPr>
        <w:tab/>
        <w:t xml:space="preserve">End date: </w:t>
      </w:r>
      <w:bookmarkStart w:id="8" w:name="AuditEndDate"/>
      <w:r w:rsidR="00A4268A">
        <w:rPr>
          <w:rFonts w:cs="Arial"/>
        </w:rPr>
        <w:t>19 July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Talbot Park provides specialised dementia/psychogeriatric hospital level care for up to 25 residents in Timaru. The service is operated by the South Canterbury District Health Board and is managed by a charge nurse manager with support from a service manager. Significant improvements within this service were evident and this was confirmed during family and staff interviews.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family members, management, staff and a general practitioner. Due to the nature of the service, resident interviews were limited. </w:t>
      </w:r>
    </w:p>
    <w:p w:rsidRPr="00A4268A">
      <w:pPr>
        <w:spacing w:before="240" w:line="276" w:lineRule="auto"/>
        <w:rPr>
          <w:rFonts w:eastAsia="Calibri"/>
        </w:rPr>
      </w:pPr>
      <w:r w:rsidRPr="00A4268A">
        <w:rPr>
          <w:rFonts w:eastAsia="Calibri"/>
        </w:rPr>
        <w:t xml:space="preserve">This audit has resulted in two continuous improvement ratings. One is in relation to good practices around resident focused care and support, while the other relates to the manner in which continuous quality improvement is embedded into the organisation’s quality and risk management system. Three areas requiring improvement were identified. These include the need for review of the winter menu, food temperatures at the point of serving which need to be warmer, and the contents and management of the emergency kit which need review.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their families and their Enduring Power of Attorneys (EPOAs).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their families and their EPOAs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Talbot Park sits within the wider South Canterbury District Health Board strategic plan, which includes short and long-term goals and action plans. These relate to the vision, goals, values and mission statement of the wider organisation.  Reports on monitoring processes within Talbot Park are provided to the governing body every month and confirm effective services are being provided. An experienced and suitably qualified person manages the facility. Additional support is provided by a district health board service manager.  </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families. Actual and potential risks, including health and safety risks, are identified and mitigated.  Policies and procedures pertaining to the service support service delivery, were current and are reviewed regularly. Adverse events are documented with corrective actions implemented and followed through.</w:t>
      </w:r>
    </w:p>
    <w:p w:rsidRPr="00A4268A">
      <w:pPr>
        <w:spacing w:before="240" w:line="276" w:lineRule="auto"/>
        <w:rPr>
          <w:rFonts w:eastAsia="Calibri"/>
        </w:rPr>
      </w:pPr>
      <w:r w:rsidRPr="00A4268A">
        <w:rPr>
          <w:rFonts w:eastAsia="Calibri"/>
        </w:rPr>
        <w:t xml:space="preserve">The appointment, orientation and management of staff is based on current good recruitment and employment practices. A systematic approach to identify and deliver ongoing training supports safe service delivery and includes annual individual performance reviews.  Staffing levels and skill mix meet the changing needs of residents and levels of occupancy. </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using integrated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expected outcomes are identified and reviewed on a regular basis.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a diversional therapist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 manual system. Medications are administered by registered nurses, all of whom have been assessed as competent to do so.</w:t>
      </w:r>
    </w:p>
    <w:p w:rsidRPr="00A4268A" w:rsidP="00621629">
      <w:pPr>
        <w:spacing w:before="240" w:line="276" w:lineRule="auto"/>
        <w:rPr>
          <w:rFonts w:eastAsia="Calibri"/>
        </w:rPr>
      </w:pPr>
      <w:r w:rsidRPr="00A4268A">
        <w:rPr>
          <w:rFonts w:eastAsia="Calibri"/>
        </w:rPr>
        <w:t>The food service is provided off site by an external contracted service. Residents/family members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and bio-medical and mechanical equipment checks are being maintained. Communal and individual spaces are maintained at a comfortable temperature and repairs are completed as required. Internal areas have key pads in place to keep residents safe. Secure outdoor courtyards are accessible, safe and provide seating.  </w:t>
      </w:r>
    </w:p>
    <w:p w:rsidRPr="00A4268A">
      <w:pPr>
        <w:spacing w:before="240" w:line="276" w:lineRule="auto"/>
        <w:rPr>
          <w:rFonts w:eastAsia="Calibri"/>
        </w:rPr>
      </w:pPr>
      <w:r w:rsidRPr="00A4268A">
        <w:rPr>
          <w:rFonts w:eastAsia="Calibri"/>
        </w:rPr>
        <w:t xml:space="preserve">Waste and hazardous substances are well managed. Staff use protective equipment and clothing. Chemicals, soiled linen and equipment are safely handled according to training provided. Laundry is mostly undertaken offsite by a contractor as are cleaning duties. Audits to monitor the effectiveness of laundry and cleaning processes are completed both internally by the service provider as well as externally by the contractor. </w:t>
      </w:r>
    </w:p>
    <w:p w:rsidRPr="00A4268A">
      <w:pPr>
        <w:spacing w:before="240" w:line="276" w:lineRule="auto"/>
        <w:rPr>
          <w:rFonts w:eastAsia="Calibri"/>
        </w:rPr>
      </w:pPr>
      <w:r w:rsidRPr="00A4268A">
        <w:rPr>
          <w:rFonts w:eastAsia="Calibri"/>
        </w:rPr>
        <w:t>Staff are trained in emergency procedures and the use of emergency equipment and supplies. Fire evacuation procedures are practised six monthly and fire safety equipment is consistently checked.  A call bell system has been installed. Security is maintained according to documented processes and with assistance from a contractor.</w:t>
      </w:r>
    </w:p>
    <w:p w:rsidRPr="00A4268A">
      <w:pPr>
        <w:spacing w:before="240" w:line="276" w:lineRule="auto"/>
        <w:rPr>
          <w:rFonts w:eastAsia="Calibri"/>
        </w:rPr>
      </w:pPr>
      <w:r w:rsidRPr="00A4268A">
        <w:rPr>
          <w:rFonts w:eastAsia="Calibri"/>
        </w:rPr>
        <w:t>All residents’ bedrooms and communal rooms were warm and dry and have windows and doors that enable natural light to filter in.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Other than environmental restraint being in place to ensure the safety of residents, there were no restraints in use at the time of audit.  A comprehensive assessment, approval and monitoring process, with regular reviews, is expected to occur should a restraint be required. Staff undertake de-escalation training and reported a sound knowledge and understanding of restraint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the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data is analysed, trended, and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1"/>
        <w:gridCol w:w="1280"/>
        <w:gridCol w:w="95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Talbot Park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residents’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All residents’ files reviewed, except for one, had EPOAs in place (refer criterion 1.3.1). Interview with the CNM, identified in regards to the resident with no EPOA in place, the family needed to apply to the court to be appointed the resident’s EPOA. The family did not however have the required financial resources to do this. The psycho-geriatrician has verified the resident is required to be in a secure environment under the Code.</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 Family members and EPOAs expressed satisfaction with the consent processes at Talbot Park.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their EPOAs and family members are given a copy of the Code, which also includes information on the Advocacy Service. Posters related to the Code were also displayed in the facility, and additional brochures were available at reception. Family members, EPOAs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 and Interviews with staff, family members and EPOAs provided evidence residents, EPOAs and family members are assisted to maximise their potential,  and to maintain links with their family and the community by attending a variety of organised outings, attendance at church services,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Talbot Park has unrestricted visiting hours and encourages visits from residents’ families and friends. Family members and EPOAs remarked on how welcome they felt when they visited.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management policy and process covers definitions of different types of complaints, notes the need to report all complaints through the quality management team and includes the complaints process and associated timeframes as applicable to Right 10 in the Code. A flow diagram also describes the complaints process step by step. Staff informed that a copy of the complaints policy and procedure is provided to family members on admission and those interviewed confirmed this and knew how to make a complaint. Updates on any concerns or complaints are provided in quality meetings, which have complaints as an agenda item. The charge nurse manager’s quarterly reports include complaints as a topic and internal audits on their management (as applicable) are completed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in place and showed that only one complaint had been received since January 2017. Previous complaints that were documented in the register described the nature of the complaint, the follow-up processes, actions taken and notes on the agreed resolution. These had been completed within the required timeframes, with reasons provided for delays.  More comprehensive supporting documentation was not available as it had previously been sent through to the District Health Board. Such information is now being entered directly into the District Health Board’s electronic complaints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charge nurse manager takes the lead in the complaints management process, supported by the service manager and the quality team of the South Canterbury District Health Board. Staff interviewed confirmed their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received from external sources since the previous audit, although the charge nurse manager knew of a complaint that had gone direct to the District Health Board, rather than through Talbot Park, and this had been closed with a successful resolution.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their enduring power of attorneys (EPOAs) and their family members reported during interviews they were made aware of the Code and the Nationwide Health and Disability Advocacy Service (Advocacy Service) as part of the admission information provided and discussion with staff. The Code is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their EPOAs and their family members confirmed that the services being provided by Talbot Park was considerate in regards to each resident’s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discussion with families and the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maintain their independence by Talbot Park staff enabling residents to participate in community activities, regular outings to the local shops or areas of interest. Each resident’s care plan included documentation related to the resident’s abilities, and strategies to maximise independence. The ‘Maps of Life’ in the residents' rooms, captures events in the resident’s life and enable staff the opportunity to promote meaningful conservation around areas of interest. A number of residents had been shearers, and on days when it was wet and shearing would have been cancelled, these residents remain in bed and aren’t disturbed till they wake 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 of resident’s files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resident at Talbot Park at the time of audit who identifies as Māori. Evidence is sighted of staff supporting this resident to integrate their cultural values and beliefs into their life at Talbot Park. The staff are observed encouraging the resident and participating in singing songs in Maori. The recent Matariki celebration has been recognised in the unit, with visits from the Maori mental health team members to add a cultural perspective to the weekly activities. The principles of the Treaty of Waitangi are incorporated into day to day practice, as is the importance of whānau to all residents. There is a current Māori health plan developed with input from the SCDHB cultural advisors.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EPOAs and family members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sighted resident, family member and EPOA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EPOAs and family members interviewed stated that residents were treated with respect and  free from any type of discrimination, harassment or exploitation. Family members and EPOAs believed residents felt safe, by their observations of a relaxed environment with minimal evidence of residents being agitated. A general practitioner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with input available from external specialist services and allied health professionals, for example, hospice/palliative care team, diabetes nurse specialist, district nurses /wound care specialist, community dieticians, psycho-geriatrician and mental health services for older persons, and education of staff.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support from management and the South Canterbury District Health Board (SCDHB) to access external education,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of project overviews demonstrating good practice were reviewed and demonstrated continuous improvement around developing and implementing resident centred initiatives. Observations during the audit and documentation reviewed included a reduction in episodes of challenging behaviour by residents, a decrease in the use of anti-psychotic medication, an environment where residents were calm and relaxed and a positive response to the environment by families, EPOAs and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EPOAs and family members stated they were kept well informed about any changes to their own or their relative’s status, were advised promptly about any incidents or accidents and outcomes of regular and any urgent medical reviews. This was supported by documentation in residents’ records reviewed. There was also evidence of resident/family input into the care planning process.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SCDHB when required. Staff knew how to do so. Staff reported interpreter services were rarely required due to all present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strategic direction document for the South Canterbury District Health Board, for which the annual review has just been completed, has ‘Every Moment Matters’ as its vision. This applies to the staff, patients and the wider community. Five strategies to achieve the vision include productive partnerships, integrated person-centred care, valuing our people, health equity for all and fit for future. The mission statement is about enhancing the health and independence of the people of South Canterbury and the values include integrity, collaboration, accountability, respect and excellence.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annual and longer-term goals and objectives for both Talbot Park and the overarching District Health Board to work towards achieving the vision and mission. Three examples of quarterly reports that are provided to District Health Board managers were sighted and demonstrated a range of information is contributing to monitoring performance of the service. This information included occupancy, staffing, quality management monitoring processes, management of emerging risks, incident management and operational data. These are reportedly summarised for presentation to the Board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charge nurse manager is responsible for the management of Talbot Park and has been in the role for approximately five years. Support and oversight is provided by a service manager, who was interviewed during the audit. Both managers are registered nurses who are maintaining their annual practising certificates and have a number of years management experience. The charge nurse manager has completed professional development specific to management within the aged care sector and demonstrated knowledge of the sector, regulatory and reporting requirements. Responsibilities and accountabilities are defined in a job description and individual employment agreement, which was 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District Health Board contracts under the Aged Residential Hospital Specialised Services Agreement. Although the unit has 25 beds available for the provision of specialised psychogeriatric care and support, only 18 were occupied on the day of audit.  There is one person under the age of 65, however they are funded under the same contract as all other residents. Staff have all completed dementia training, as required in the agreement and the person/family centred approach is so strong that continuous improvement in this area is acknowledged in standard 1.1.8: Good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charge nurse manager, the facility is managed by a senior registered nurse (the most senior and longest serving in the service) with oversight from the service manager. The relief manager carries out all the required duties under delegated authority. </w:t>
            </w:r>
          </w:p>
          <w:p w:rsidR="00EB7645" w:rsidRPr="00BE00C7" w:rsidP="00BE00C7">
            <w:pPr>
              <w:pStyle w:val="OutcomeDescription"/>
              <w:spacing w:before="120" w:after="120"/>
              <w:rPr>
                <w:rFonts w:cs="Arial"/>
                <w:b w:val="0"/>
                <w:lang w:eastAsia="en-NZ"/>
              </w:rPr>
            </w:pPr>
            <w:r w:rsidRPr="00BE00C7">
              <w:rPr>
                <w:rFonts w:cs="Arial"/>
                <w:b w:val="0"/>
                <w:lang w:eastAsia="en-NZ"/>
              </w:rPr>
              <w:t>As both the charge nurse manager and the service manager are registered nurses with current practising certificates, the clinical management oversight is completed by the service manager. The service manager is experienced in the sector and able to take responsibility for any clinical issues that may arise in order to support the relief registered nurse. Staff confirmed that they feel supported and that the current management system is working well, despite the restructuring underway as directed from senior management of the district health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South Canterbury District Health Board quality and risk management plan, which reflects the principles of continuous quality improvement is in place. Talbot Park implements this within the facility and the charge nurse manager attends related meetings. The quality plan and quality activity matrix are reviewed annually, two monthly continuous quality improvement meetings occur and quarterly reports on quality related issues are developed. Examples of topics covered include complaints management, internal audits and monitoring processes, management of incidents and accident reporting, health and safety and infection reporting, staff feedback, family survey responses and residents’ reviews. Meeting minutes reviewed confirmed implementation of the quality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quality activity and internal audit matrix was sighted for July 2017 – June 2018, as was a new matrix for the upcoming year. An accompanying comprehensive range of internal monitoring tools and processes to support the different topics are also available. The range of documentation sighted confirmed that the service provider is demonstrating continuous improvement for the manner in which they are developing quality improvement initiatives in response to identified gaps and/or identified areas for improvement. These initiatives have also developed from corrective action plans implemented because of the ongoing quality monitoring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informed during interviews that they receive updates on the quality management topics via monthly staff meetings and in quality committee meeting minutes that they are requested to read and sign.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as part of stage one audit cover all necessary aspects of the service and contractual requirements, including reference to the interRAI Long Term Care Facility assessment tool and process.  Policies are based on best practice and were current. The document control system is undertaken at District Health Board level and ensures a systematic and regular review process, referencing of relevant sources, approval, distribution and removal of obsolete documents. There are additional, or supplementary documents that specifically focus on Talbot Park.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satisfaction surveys are completed annually. The most recent survey was undertaken June 2018 via telephone contact with an invitation for additional written feedback. Results showed family members are overall satisfied, they acknowledged that open disclosure is consistently occurring, noted the food is good with plenty of variety, stated that restraints of any form are not used, expressed appreciation for the different quality improvement projects that have been implemented and made comments about the older buildings, that sometimes clothing becomes shrunk and sometimes clothing items get mixed up with other residents’ items of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charge nurse manager and the service manager described the processes for the identification, monitoring, review and reporting of risks and development of mitigation strategies. As for other quality management issues, there are both District Health Board and Talbot Park specific risks that are being managed. The service manager and the charge nurse manager have attended relevant training and is familiar with the Health and Safety at Work Act (2015). Requirements are being implemented accordingly. Reviews of the health and safety system are completed every three months and reported back to the District Health Board Health and Safety Committee. This process includes reviews of hazard management and the hazard register and reports on the quarterly health and safety internal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through the quality committee both within Talbot Park as well as through the South Canterbury District Health Board. Further discussion is undertaken at shift handovers and again at staff meetings. Monthly ‘Safety First’ reports are developed and copies of these were sighted. Corrective actions are being developed and implemented as indicated and the information obtained is being used for quality improvement processes to reduce the likelihood of a recurrence. During a management review of Safety First reports for patterns and trends, it was found that there had been an increase in the number of safety and behaviour incidents and employee incidents. As described in criterion 1.2.3.6 above, a comprehensive review was undertaken to address areas identified for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charge nurse manager described essential notification reporting requirements. She advised there has been one recent notification of a significant event made to the South Canterbury District Health Board and the Ministry of Health. Not all documentation for this was available as the District Health Board has yet to complete their investigation; however, the information that was available and reports from the charge nurse manager and the service manager confirmed efforts have been made to ensure this does not happen again. The person concerned is no longer at this facility. There have been no Health and Disability Commissioner complaints, police investigations, Coroner’s inquests, issues based audits or any other notifications required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registered health professionals have their qualifications checked when they commence employment. Copies, or evidence of, annual practising certificates have been obtained for all such professionals who have contact with residents. A register confirming this was sighted and included allied health professionals and general practitioners. Seven of the eight registered nurses working at Talbot Park are maintaining their annual competency requirements to undertake interRAI assessments.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South Canterbury District Health Board’s recruitment and selection policy and procedures are based on good employment practice and relevant legislation. They describe the approval of vacancy and advertising processes, management of applications, short-listing as per pre-determined criteria, interviewing and pre-employment checks that include health and safety, police vetting, verbal reference checks, plus the person’s right to work in NZ. The charge nurse manager informed how the processes at Talbot Park are undertaken according to these requirements and staff files reviewed included documentation that was consistent with requirements. </w:t>
            </w:r>
          </w:p>
          <w:p w:rsidR="00EB7645" w:rsidRPr="00BE00C7" w:rsidP="00BE00C7">
            <w:pPr>
              <w:pStyle w:val="OutcomeDescription"/>
              <w:spacing w:before="120" w:after="120"/>
              <w:rPr>
                <w:rFonts w:cs="Arial"/>
                <w:b w:val="0"/>
                <w:lang w:eastAsia="en-NZ"/>
              </w:rPr>
            </w:pPr>
            <w:r w:rsidRPr="00BE00C7">
              <w:rPr>
                <w:rFonts w:cs="Arial"/>
                <w:b w:val="0"/>
                <w:lang w:eastAsia="en-NZ"/>
              </w:rPr>
              <w:t>An organisation wide policy and procedure on orientation is District Health Board focused. This describes both the orientation and induction processes and the responsibilities of human resources, staff development, line managers and employees. All staff files reviewed included copies of completed orientation and induction processes at both Talbot Park and for the overarching District Health Board. Copies of three-month performance reviews were also in the files for more recently employed staff. During interviews, staff informed that the topics covered are applicable and noted that the time being ‘buddied’ over three days is important for new staff. The charge nurse manager explained that the full orientation process takes an average of three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on learning and development requires all staff to undertake mandatory training and participate in ongoing training as scheduled. Continuing education is planned on an annual basis. A spreadsheet detailing the record of learning for each staff person is in place and was sighted. All annual training update requirements are being met with the exception of three very casual staff and one on maternity leave. The mandatory training includes the requirements as listed in the contractual agreement. Opportunities to attend external training are offered and funding towards qualifications may be made available on application. For registered nurses and managers, the annual performance appraisals, which are being completed for all staff, guide the person’s professional development plan. Care staff have either completed or commenced a New Zealand Qualification Authority education programme to meet the requirements of the provider’s agreement with the District Health Board. All staff have completed the required education in relation to dementia care except for one person who is completing the last paper.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South Canterbury District Health Board rostering policy, with additional guidance notes for Talbot Park that are specific to the facility.  This document requires that rosters reflect appropriate staff skill mixes and staff numbers and described actions to be taken in the event of staff leave and absences. These guidelines are intended to ensure safe service delivery over 24 hours a day on seven days a week will be provided.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implementing the policy and guidelines and examples were provided that showed the charge nurse manager is adjusting staffing levels to meet the changing needs of residents. There is on call support available and staff reported that good access to advice is available when needed with one or more registered nurses always being on duty. Family interviewed are satisfied with staffing levels. Observations made and review of a four-week roster cycle (for pre and post audit timeframes) confirmed adequate staff cover is being provided. Staff are being replaced in any unplanned absence. All staff complete resuscitation support training, rather than first aid, and although some staff are in the three-month leeway time and are due to renew this, all registered nurses have a current certificate. As mentioned in Standard 1.2.7, all staff have completed dementia training and registered nurses have current interRAI competencies.</w:t>
            </w:r>
          </w:p>
          <w:p w:rsidR="00EB7645" w:rsidRPr="00BE00C7" w:rsidP="00BE00C7">
            <w:pPr>
              <w:pStyle w:val="OutcomeDescription"/>
              <w:spacing w:before="120" w:after="120"/>
              <w:rPr>
                <w:rFonts w:cs="Arial"/>
                <w:b w:val="0"/>
                <w:lang w:eastAsia="en-NZ"/>
              </w:rPr>
            </w:pPr>
            <w:r w:rsidRPr="00BE00C7">
              <w:rPr>
                <w:rFonts w:cs="Arial"/>
                <w:b w:val="0"/>
                <w:lang w:eastAsia="en-NZ"/>
              </w:rPr>
              <w:t>The roster showed that in addition to the registered nurse and the charge nurse manager, six healthcare assistants work various hours in the morning shift over seven days a week; four cover the afternoon shifts and two the night shift. Currently Talbot Park is staffed for 25 residents; however, an occupancy rate of only 18 – 20 has been occurring for the past 12 months. District Health Board authorised plans to reduce staff numbers were sighted. It is intended that from 20 August 2018 staff numbers will more accurately reflect the occupancy of up to 20 beds. The documentation states that additional staff may be requested in response to increased acuity and who will be responsible for the decision making about this.  During interviews, health care assistants reported there is currently adequate staff available to complete the work allocated to them, although expressed fears that the proposed changes may compromise this. All interviewed confirmed they have been fully informed about the planned changes and that they had been assured additional staff will be provided when acuity increases, or bed occupancy goes above 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of present residents are held securely on site. Records of residents no longer residing at Talbot Park are held offsite at SCDHB. All records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by the psycho-geriatrician and confirmed by the local Needs Assessment and Service Coordination (NASC) Service. Prospective residents, their EPOAs and/or their families are encouraged to visit the facility prior to admission and meet with the charge nurse manager (CNM).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of all residents reviewed evidenced an assessment by the psycho-geriatrician verifying the need for care in Talbot Park. All residents’ files reviewed, except for one had an EPOA in place. The file of the resident with no EPOA in place had documentation from the psycho-geriatrician, verifying the need for placement.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or EPOAs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SCDHB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Interview with the EPOA of a resident previously requiring transfer for allied services input, identified being kept well informed during the transfer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manual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three-monthly medicine review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CNM and recorded on an accident/incident form. The residents designated representative is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and meet standing order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meals for residents of Talbot Park, are cooked offsite at the SCDHB by a contracted food service provider, and delivered to Talbot Park each meal time, on insulated trays. There are also additional supplies of food on site, to enable staff to provide residents with additional food if required at any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follows summer and winter patterns. At the time of audit there was no evidence available to indicate that the winter menu is in line with recognised nutritional guidelines for older people. This was sent several days after the audit; however a corrective action had already been raised.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control plan was sighted, and documentation verified the plan was registered with the Ministry of Primary Industries (MPI) in September 2017. The plan is due to expire in September 2018. Documentation evidences an external audit is booked to occur 16 August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arrives at Talbot Park in insulated trays on an enclosed trolley, however the temperature monitoring records of the food when it is checked at Talbot Park, prior to being given to the residents, shows the temperature is not at the required temperature.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the food service provider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residents, EPOA and family interviews and satisfaction surveys. Residents were seen to be given time to eat their meal in an unhurried fashion and those requiring assistance had this provided. No dissatisfaction was expressed around the temperature of the food. There are sufficient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resident/EPOA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CNM.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to Talbot Park, residents are assessed using a range of nursing assessment tools, such as pain scale, falls risk, skin integrity, behaviour assessment, nutritional screening and depression scale, to identify any deficits and to inform initial care planning. Within three weeks of admission residents an InterRAI assessment is undertaken  to inform the long term care plan.  Ongoing reassessment using the interRAI assessment tool and any required additional tools,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files reviewed, initial assessments are completed as per the policy and within 24 hours of admission. InterRAI assessments are completed within three weeks of admission and at least six-monthly unless the resident’s condition changes. Interviews, documentation and observation identified the RNs understand the requirement for reassessment of a resident using the interRAI assessment tool when a resident has increasing or changing need levels. </w:t>
              <w:br/>
              <w:br/>
              <w:t>All files reviewed have current interRAI assessments completed by seven of eight RNs who are trained interRAI assessors.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are reflected in the care plans reviewed. All files reviewed had behaviour management plans in place that included the type of behaviour, triggers to the behaviour and management strategies to deescalate the behaviours.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Family members and EPOAs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of Talbot Park was consistent with their needs, goals and the plan of care. The attention to meeting a diverse range of resident’s individualised needs was evident in service provision. The environment was calm and relaxed with no evidence of disruptive behaviours. Residents were engaged and participating in the activities being provided. Staff responded promptly to residents’ requests for ‘a cup of coffee’ and assisted residents when required. Staff were observed to be perceptive to potentially disruptive events and implemented de-escalation strategies.</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verified that medical input is sought in a timely manner, that medical orders are followed, and care is of a high standard. Care staff confirmed that care was provided as outlined in the documentation. A range of equipment and resources was available, suited to hospital level dementia care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diversional therapist.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Each resident has a ‘map of life’ that identifies a vast range of factors important in the resident’s life, and a wellbeing plan that identifies the resident’s activity, social, physical, psychological, spiritual and cultural needs over the 24 hour period. Activities assessments and wellbeing plans are regularly reviewed to help formulate an activity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included normal community activities. Individual, group activities and regular events are offered. Examples included twice weekly outings to participate in the community and visits from community groups. Recently Matariki was celebrated with members of the Māori mental health unit coming and entertaining the residents. Visits from local dance groups, school groups, visiting entertainers, quiz sessions and daily news updates are also included in the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no regularly scheduled resident/EPOA/family meetings as attendance to the meetings was minimal due to a lot of family members living out of the area. The activities programme is discussed informally with the residents and their EPOAs or family members when they visit, and any suggestions are greatly received.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wide range of resources within the unit that enables the resident to engage. Strategically placed posters around the unit, provide instruction/guidance and interaction with specific residents around their areas of interest (e.g., one resident has directions for specific exercises, another has questions to answer on an area of interest.) Each resident’s room has the ‘map of life’ displayed, which helps to alert caregivers to topics of conversation that can be had with the resident.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 and EPOA, satisfaction surveys demonstrated satisfaction with the services the unit provides. Residents, their EPOAs and families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 term care plans were consistently reviewed for infections, pain, weight loss, and behaviours, and progress evaluated as clinically indicated and according to the degree of risk noted during the assessment process. Other plans, such as wound management plans were evaluated each time the dressing was changed. EPOAs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use another medical practitioner. If the need for other non-urgent services are indicated or requested, the GP or RN sends a referral to seek specialist input. Copies of referrals were sighted in residents’ files, including to older persons’ mental health services. Referrals are followed up on a regular basis by the RN or the GP. The resident, EPOA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organisation wide waste management policy and procedure has a philosophy of waste minimisation and emphasises the need to segregate different types of waste and notes how each is to be managed. These include management of general waste, infectious waste, sharps and confidential information, for example.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these documented processes for the management of waste and infectious and hazardous substances.  Overall waste is managed via external contractors and staff from Timaru Hospital. Chemicals are supplied by external laundry and cleaning contractors and the managers of these contracts were interviewed during the audit. Material safety data sheets are available, and staff receive training on their use. The contractors oversee the chemical safety requirements including regular audits. Staff interviewed knew what to do should any chemical spill/event occur, and a spill kit was sighted.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including gloves, plastic aprons, goggles and face shields and staff were observed using this. Staff have received recent reminders of the advantages of using face shields.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with an expiry date of 1 December 2018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Hot water temperature testing is consistently being checked monthly to ensure residents’ safety. The testing and tagging of electrical equipment and calibration of bio medical equipment is current as confirmed in documentation reviewed, interviews with maintenance personnel and observation of the environment. Documentation from the check of the wheelchair weighing scales stated they had failed compliance; however, a sticker on them stated they had passed. Confirmation from the company concerned was not available and during the audit, a manager arranged for a new set to be purchased to ensure equipment safety and accuracy. Efforts are made to ensure the environment is hazard free, that residents are safe and independence is promoted. All areas were presented as clean and tidy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documentation system for maintenance tasks. On review it was found that some several months old had not been signed off, despite the staff concerned able to demonstrate these had been completed. Prior to the end of the audit, the maintenance manager had implemented a more efficient and accountable system that will facilitate the sign off of these tasks.</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residents living at Talbot Park. Environmental restraints that include key pads being on external doors and fenced courtyards being in place, ensure residents’ safety. Security has been further reviewed since an incident of a breach of security, as noted in standard 1.2.4. The external courtyards are accessible to residents who may go in and out as they choose during daylight hours. Suitable outside seating and gardens enhance the enclosed external courtyards.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four toilets, two stand-alone showers, two other showers combined with a toilet and one shared ensuite between two rooms. All shower rooms are large with easy to manage equipment within them. There is a bathroom that has a bath with a hoist; however due to the hoist no longer working the room is locked and has been delegated for a store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Non-slip flooring, and appropriately secured and approved handrails are installed in the toilet/shower areas. Other equipment/accessories including shower chairs and bath trollies are also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are large and provide single accommodation only. Rooms are personalised with furnishings, photos and other personal items displayed. Due to the problem of some residents uplifting items that do not belong to them, the staff have found ways to secure some of these items into position. They have also placed pictures relevant to earlier phases of the residents’ lives to make it easier for them to identify their own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and wheel chairs. Staff and family members reported the adequacy of bedrooms. Documentation sighted showed that previous family members have expressed appreciation for use of a palliative room that has been established for use when a resident is receiving end of life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 dining and lounge areas are spacious and enable easy access for residents and staff.  Residents can access areas for privacy, if required, and can move outside from these rooms if they choose.  Furniture is appropriate to the setting and residents’ needs, with a variety of options available to meet individual preferences. A separate relaxation, family/whānau room outside of the locked doors is available for use when visitors/family members visit. This room is suitably furnished, enables additional privacy and has access to tea and coffee making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Towels and bedlinen are laundered off site by a contracted provider. Personal items are also laundered off site, although some items are laundered on site by staff, or family members may take some home to launder. The laundry contract manager was interviewed during the audit and described the processes undertaken to ensure good care is taken of residents’ clothes. Family members had commented in some survey results sighted about clothes being shrunk, or in need of repair. The manager described systems now in place to reduce such incidences. Care staff, as well as those with allocated laundry duties, are provided with relevant training. An awareness of accepted laundry processes was evident with reports of dirty/clean flow practices and correct handling of soiled linen. Family members interviewed reported the laundry is mostly managed well with few problems now compared with earlier times. Clothes are reportedly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services are provided by an external contractor and the manager of this contract was also interviewed. There is a small designated cleaning team who have received appropriate training, as per the contract. Chemicals come up from Timaru Hospital as required, were stored in a lockable cupboard and were in appropriately labelled containers. The supplier is responsible for ensuring material data sheets are available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six monthly through the organisation’s internal audit programme as well as through the contractor’s two monthly audits. Copies of results of these were sighted and showed 100% compliance for the last three audits. There were no corrective actions identified in the last two internal cleaning audits. The contract manager described a new system about to be implemented that focuses on key performance indicators. It was noted that these will form the basis of future cleaning staff performance appraisals, as well as for cleaning audit purposes.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noted that although the facility is older style, the place is always clean and there are not any offensive odours.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All such procedures meet the needs and will maintain the safety for hospital level care residents with dementia. Disaster and civil defence planning guides direct the facility in their preparation for disasters and describe the procedures to be followed in the event of a fire or other emergency. Emergency lighting and fire safety equipment is regularly tested by a contractor and records confirming this were sighted. Lighted exit signs that were missing have been installed. The current fire evacuation plan was approved by the New Zealand Fire Service on 5 March 1996. A trial evacuation takes place six-monthly with the most recent being 28 November 2017 and 28 May 2018. The orientation programme includes fire and security training, which is also a component of the ongoing mandatory annual training programme. The administrator/reception person is the fire safety officer and during interviews,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Alternative energy and utility sources are available with adequate supplies of water for use in the event of a civil defence emergency available in on-site water tanks.  There is a generator on site that is checked by maintenance staff. Food and miscellaneous emergency supplies are in a hallway cupboard. Although evidence was sent of actions taken after the audit; at the time of audit there was a need for improved management of the emergency supplies and of equipment, such as radios to be used in an emergency, which has been raised for corrective action. </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Staff informed that because residents seldom use them they are especially alert to them when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and a security company checks the premises at least three times a night. Records of each visit are entered into a book near an entrance beside the maintenance shed and when viewed, this confirmed consistency of checks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with water filled radiators and ventilated appropriately with windows with security latches. Shower rooms have fans in place.  Bedrooms have natural light coming through openable external windows and communal rooms have doors and windows that can be opened. Only service rooms do not have natural light coming through windows to the outside. </w:t>
            </w:r>
          </w:p>
          <w:p w:rsidR="00EB7645" w:rsidRPr="00BE00C7" w:rsidP="00BE00C7">
            <w:pPr>
              <w:pStyle w:val="OutcomeDescription"/>
              <w:spacing w:before="120" w:after="120"/>
              <w:rPr>
                <w:rFonts w:cs="Arial"/>
                <w:b w:val="0"/>
                <w:lang w:eastAsia="en-NZ"/>
              </w:rPr>
            </w:pPr>
            <w:r w:rsidRPr="00BE00C7">
              <w:rPr>
                <w:rFonts w:cs="Arial"/>
                <w:b w:val="0"/>
                <w:lang w:eastAsia="en-NZ"/>
              </w:rPr>
              <w:t>Areas were warm and well ventilated throughout the audit and families confirmed the facilities are maintained at a comfortable temperature and never cold in winter.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Talbot Park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by SCDHB with input from the CNM.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CNM is the designated infection control nurse (ICN) whose role and responsibilities are defined as part of the CNM job description. Infection control matters, including surveillance results, are reported monthly to the service manager (SM) and tabled at the monthly multidisciplinary and staff meetings. Infection control statistics are recorded, analysed, graphed and displayed in the staff room. Any infection control concerns are directed through the SM to the SCDHB infection control co-ordinator (ICC).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(ICN) has appropriate skills, knowledge and qualifications for the role and has undertaken post graduate training in infection prevention and control and attended relevant study days, as verified in training records sighted. The ICN is supported by the ICC at SCDHB. The ICN has access to residents’ records and diagnostic results to ensure timely treatment and resolution of any infections. The audit schedule includes ongoing audits around IPC policies.</w:t>
            </w:r>
          </w:p>
          <w:p w:rsidR="00EB7645" w:rsidRPr="00BE00C7" w:rsidP="00BE00C7">
            <w:pPr>
              <w:pStyle w:val="OutcomeDescription"/>
              <w:spacing w:before="120" w:after="120"/>
              <w:rPr>
                <w:rFonts w:cs="Arial"/>
                <w:b w:val="0"/>
                <w:lang w:eastAsia="en-NZ"/>
              </w:rPr>
            </w:pPr>
            <w:r w:rsidRPr="00BE00C7">
              <w:rPr>
                <w:rFonts w:cs="Arial"/>
                <w:b w:val="0"/>
                <w:lang w:eastAsia="en-NZ"/>
              </w:rPr>
              <w:t>The ICN/CNM confirmed the availability of resources to support the programme and any outbreak of an infection.  There have been no norovirus outbreaks at Talbot Park in the past 18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IPC at orientation and ongoing education sessions. Education is provided by the ICN and ICC at SCDHB. Content of the training was documented and evaluated to ensure it was relevant, current and understood. A record of attendance was maintained. When an increase in infection incidence has occurred, there is evidence that additional staff education has been provided in response.</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ICN/CNM review all reported infections. Monthly surveillance data is collated and analysed to identify any trends, possible causative factors and required actions. Results of the surveillance programme are shared with staff via multidisciplinary and staff meetings and at staff handovers. Surveillance data is entered in the organisation’s infection database. Graphs are produced that identify trends for the current year, and comparisons against previous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2017-2018 analysis of infection data identified a low rate of urinary tract infections (UTIs) and antibiotic use at Talbot Park.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on managing challenging behaviours include definitions and describe topics such as behaviour assessment, observations, management plans and inclusion in residents’ care plans. De-escalation techniques are described, and staff have completed non-violent crisis intervention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policy and procedures meet the requirements of the restraint minimisation and safe practice standards and provide guidance on the safe use of both restraints. They include definitions of enablers and various types of restraint. Due to the fact that all residents have been assessed as requiring hospital level dementia care, enablers would not be used in this facility as they are unable to make an informed choice. The documents address assessment, monitoring and evaluation processes for any use of a restraint. Facility approved items for restraint, once an assessment has been completed, are a seat belt with a leg and waist strap, a lap belt with leg straps or a lap belt.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coordinator/charge nurse manager provides support and oversight for restraint management in this facility and demonstrated a sound understanding of the role, responsibilities and the organisation’s policies, procedures and practices. Records sighted showed that staff receive restraint minimisation education every two years, in addition to the training on communication and de-escalation, via Health Learn. Quarterly audits of restraint use are required to be undertaken for the quarterly reports.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no residents using any form of restraint. The last restraint use was in August 2017, which was confirmed in the restraint register and in the copies of the quarterly reports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they do not use restraints in this facility and would only do so as a last resort and if directed by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environmental restraint for the safety of all residents is described in organisational service descriptions and in the restraint minimisation and safe practice policy documentation.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85"/>
        <w:gridCol w:w="1280"/>
        <w:gridCol w:w="7587"/>
        <w:gridCol w:w="1771"/>
        <w:gridCol w:w="14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prepared offsite by an external food service provider at SCDHB and delivered to Talbot Park residents. The food service provider was unable to verify the current winter menu meals have been reviewed by a qualified dietician and are in line with recognised nutritional guidelines for older persons. Evidence suggests satisfaction with the meals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winter menu in use has no evidence to verify it has been reviewed by a qualified dietician and that it is in line with recognised nutritional guidelines for older people.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winter menu being provided to residents of Talbot Park meets nutritional guidelines for older people.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arrives at Talbot Park each meal time on insulated trays on an enclosed trolley, after having been prepared at the SCDHB kitchen. When the food arrives the care staff check the temperatures of the food prior to handing out the trays to residents, to ensure it is above a requested 60-degrees Celsius (°C). Records of the food temperature recorded on the day of audit, and the preceding three months, identified only twice has the food temperatures been greater than 60°C. Incident forms and emails verify ongoing concerns expressed by Talbot Park staff to the SCDHB and food service provider regarding the temperature of food not meeting the required standard when it arrives at Talbot Park.  While some attempt has been made at rectifying the problem, this remains unresolved.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temperature of the cooked food is not being maintained at the requested 60°C, before being provided to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cooked food temperatures remain above 60°C.</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Civil defence supplies were in a locked hallway cupboard. A range of items for use in an emergency were on various shelves and some hidden under other items. These included canned and packet food, batteries, a wind-up radio and continence supplies, for example. Heavy boxes of what might have been canned food were on a top shelf with poor access in the event of an emergency. There was a lack of awareness by staff and managers as to what items were available, quantities in stock, who is responsible for managing the supplies and generally how these were managed. No checklist was available and no evidence of a recent check of emergency supplies was able to be provided for review. Although the risk has been rated as moderate, the timeframe has been reduced to 30 days for the service provider to action to ensure this is addressed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Items that contribute to the civil defence kit are in different places, there is no check list available as to what items are to be present and there was no evidence of ongoing monitoring of the contents.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Appropriate equipment and supplies are available to respond to emergency situations.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9641"/>
        <w:gridCol w:w="14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continuous quality improvement processes has been raised as a CI under quality management 1.2.3.  Project overviews/summaries that demonstrated good practise were reviewed. Some of these initiatives were in response to issues identified as needing improvement during internal audits, management reviews, family feedback processes and ideas from new staff.  Examples are described below: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Map of Life: </w:t>
              <w:br/>
              <w:t xml:space="preserve">This project, started in 2016 due to staff wanting more information about the residents they care for. The manager and senior staff developed a template intended to be used to gain a profile of each person from when they arrive at the service. This documented template has progressively developed to now include a diagrammatic format with different coloured boxes representing different aspects of the person’s life and a short comment in each pertaining to the resident (e.g., children and grandchildren, working life and special interests). Reviews in 2017 and 2018 have seen the development of various formats and staff are encouraged to read parts of these each day.  Staff feedback has been positive about how much more they know about the residents, that they read one or two boxes and use the information to start a conversation with the person while providing care and support. Family have fed back that they enjoy reading these to remind themselves of their loved one’s journey, that they appreciate that staff use them and have used the term resident centred. The importance of these has been acknowledged and allocated staff are given a timeframe to complete them and they are now required to be completed within one week of admission. A progression to relevant pictures on residents’ doors that reflect the profile is a more recent step and a recent review has identified that the pictures are assisting residents to find their own room resulting in a decrease in the number of people going into others’ rooms. The information above shows that development of the Map of Life initiative has occurred because of ongoing reviews. </w:t>
            </w:r>
          </w:p>
          <w:p w:rsidR="00EB7645" w:rsidRPr="00BE00C7" w:rsidP="00BE00C7">
            <w:pPr>
              <w:pStyle w:val="OutcomeDescription"/>
              <w:spacing w:before="120" w:after="120"/>
              <w:rPr>
                <w:rFonts w:cs="Arial"/>
                <w:b w:val="0"/>
                <w:lang w:eastAsia="en-NZ"/>
              </w:rPr>
            </w:pPr>
            <w:r w:rsidRPr="00BE00C7">
              <w:rPr>
                <w:rFonts w:cs="Arial"/>
                <w:b w:val="0"/>
                <w:lang w:eastAsia="en-NZ"/>
              </w:rPr>
              <w:t>•  The Wellbeing plan format:</w:t>
              <w:br/>
              <w:t>Changes have been made to the wellbeing plan in consultation with the diversional therapist (DT) in particular to ensure it was resident centred and more accurately reflected their backgrounds, rather than just what the facility programme was. Family members were involved in the review of these and have been proactive in ensuring increased accuracy of the information. As a result, family are being more involved, and the latest review concluded it has become increasingly user-friendly and more appropriate for individuals than previous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Meaningful indoor incidental activities: </w:t>
              <w:br/>
              <w:t>In September 2016, the organisation was challenged due to indoor activities not being meaningful to the residents. A concerted effort was then made to provide new opportunities. This has continued to evolve with community groups involved in the making of some of these. It was then identified that there were insufficient ‘blokes’ activities. As a direct result, there are now multiple types of tactile and fiddle boards that are either fixed or mobile, include boards and cushions with padlocks, cords, slide bolts, pom poms, laces and quilts. New ideas are being introduced, more resources are going into developing them and they are being reviewed for safety, durability and popularity/preferred use by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Creation of a palliative room: </w:t>
              <w:br/>
              <w:t xml:space="preserve">Previously, end of life care was undertaken in the hospital wing. Once this was closed the manager and staff felt a dedicated room was needed for this purpose to enable families and the resident to participate in this process in the manner they are most comfortable with. The room is light, has a calm feeling, has an aromatherapy mister and is appropriately furnished. It was reported that personal belongings are taken in there and every effort is made to make the environment as applicable to the individual resident and family as possible. Over time it has been found that not all families have chosen to use it but there was documented evidence sighted that when loved ones die, one of the common messages the service provider receives is about the value of this room and how special it was. </w:t>
            </w:r>
          </w:p>
          <w:p w:rsidR="00EB7645" w:rsidRPr="00BE00C7" w:rsidP="00BE00C7">
            <w:pPr>
              <w:pStyle w:val="OutcomeDescription"/>
              <w:spacing w:before="120" w:after="120"/>
              <w:rPr>
                <w:rFonts w:cs="Arial"/>
                <w:b w:val="0"/>
                <w:lang w:eastAsia="en-NZ"/>
              </w:rPr>
            </w:pPr>
            <w:r w:rsidRPr="00BE00C7">
              <w:rPr>
                <w:rFonts w:cs="Arial"/>
                <w:b w:val="0"/>
                <w:lang w:eastAsia="en-NZ"/>
              </w:rPr>
              <w:t>•  Relaxation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an identified need for an area for residents to go to with family when families are not able to take the person out. A relaxation room was developed as a space for families to go with their loved one away from the busyness of the unit. There are tea and coffee facilities and residents may eat there with family members. The manager noted that a review showed an increase in its use and positive feedback from families when interviewed. Staff reported that residents who used it often returned very calm and settled. Following evaluation of the idea it was decided to move it closer to the wing and this has seen its use increase further. An unintended consequence has been its use as a family/whānau room when family members require some private time, or a resident is unwell or dying.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Talbot Park demonstrates a commitment to good practice, focussing on implementing resident centred initiatives to improve resident centred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Throughout the audit there was increasing evidence of targeted quality improvement initiatives and projects that have been developed. These are a result of issues raised during the process of addressing internal and externally generated corrective actions, or feedback from one or more people.  A folder of these projects was reviewed and a theme coming through was the strong focus on resident-centred care and support, which has been identified as a feature in its own right that is demonstrating continuous improvement under Good Practice, criterion 1.1.8.1.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of quality improvement initiatives over the past 12 months, in addition to those noted in 1.1.8.1, were in relation to regular checking syringe driver components to ensure it is ready for resident care should it be needed, a review of continence products to improve residents’ comfort, improving the identification and planning of spiritual/cultural aspects of residents’ care, the analyses of falls to reduce incidence with the type of sensor mats changed that has since reduced the frequency, and a review of residents’ weight and their nutrition resulted in more individualised meals. </w:t>
            </w:r>
          </w:p>
          <w:p w:rsidR="00EB7645" w:rsidRPr="00BE00C7" w:rsidP="00BE00C7">
            <w:pPr>
              <w:pStyle w:val="OutcomeDescription"/>
              <w:spacing w:before="120" w:after="120"/>
              <w:rPr>
                <w:rFonts w:cs="Arial"/>
                <w:b w:val="0"/>
                <w:lang w:eastAsia="en-NZ"/>
              </w:rPr>
            </w:pPr>
            <w:r w:rsidRPr="00BE00C7">
              <w:rPr>
                <w:rFonts w:cs="Arial"/>
                <w:b w:val="0"/>
                <w:lang w:eastAsia="en-NZ"/>
              </w:rPr>
              <w:t>Of particular note, is a report on Talbot Park written by the service manager that includes background, methodology, evaluation/review processes and a set of six week, three month and six month time-framed recommendations.  The investigation process and report were prompted by a quality management system review outcome. An analysis of the incident (Safety First) reports showed that there had been an increased number of safety and behavioural incidents and employee incidents. The management team proposed and commenced a two-and-a-half-day comprehensive review/internal audit of a range of aspects of the service delivery and functioning of Talbot Park. The review covered staff motivation and morale, a more in-depth review of incidents January 2017 until April 2018, admission history of residents and the processes used, residents’ file reviews, residents’ activities, specialist support availability, family feedback, policies and procedures, education, the quality plan, end of life, management of the unwell or complex care resident and maintenance of the grounds and buildings. Summarised outcomes are described in the report and are followed by the time-framed recommendations. All of the short-term recommendations, many of which have had positive impacts on residents’ care and support, have been completed with evaluation of their effectiveness being fed back in staff and quality meetings and through family feedback. Progress is underway for the three-month recommendations and several of the six-month recommendations have also been commenced.  The recommendations demonstrated pragmatism with intentions to improve the care and support provided to residents, their lifestyles and the environment.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Without prompting, family members have volunteered affirmative comments about these initiatives, mention has been made of their value in the survey results and feedback sought as part of each initiative included appreciation about the benefits for their loved ones. Staff informed that they feel heard and have appreciated being involved in the improvements underway.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criterion has been allocated a continuous improvement rating, not only because of the number of initiatives implemented to improve resident related issues, or staff related issues that have the potential to impact positively on residents’ care, but also for the use of quality improvement processes to identify and address shortcomings and implement potential improvements.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responsive culture of continuous quality improvement within this service, which is seeing a range of initiatives that are consistently enhancing the quality of life for residents being planned, implemented and evaluated. Changes are being made as indicated.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South Canterbury District Health Board - Talbot Park</w:t>
    </w:r>
    <w:bookmarkEnd w:id="58"/>
    <w:r>
      <w:rPr>
        <w:rFonts w:cs="Arial"/>
        <w:sz w:val="16"/>
        <w:szCs w:val="20"/>
      </w:rPr>
      <w:tab/>
      <w:t xml:space="preserve">Date of Audit: </w:t>
    </w:r>
    <w:bookmarkStart w:id="59" w:name="AuditStartDate1"/>
    <w:r>
      <w:rPr>
        <w:rFonts w:cs="Arial"/>
        <w:sz w:val="16"/>
        <w:szCs w:val="20"/>
      </w:rPr>
      <w:t>18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