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Wattle Downs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Wattle Downs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June 2018</w:t>
      </w:r>
      <w:bookmarkEnd w:id="7"/>
      <w:r w:rsidRPr="009418D4">
        <w:rPr>
          <w:rFonts w:cs="Arial"/>
        </w:rPr>
        <w:tab/>
        <w:t xml:space="preserve">End date: </w:t>
      </w:r>
      <w:bookmarkStart w:id="8" w:name="AuditEndDate"/>
      <w:r w:rsidR="00A4268A">
        <w:rPr>
          <w:rFonts w:cs="Arial"/>
        </w:rPr>
        <w:t>20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Wattle Downs provides rest home and hospital level care for up to 60 residents.  During the audit there were 50 residents. </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Feedback from residents and relatives was positive about the care and services provided.  An induction and in-service training programme is provided.  The care home manager is appropriately qualified and experienced and is supported by an acting clinical manager (registered nurse).  </w:t>
      </w:r>
    </w:p>
    <w:p w:rsidRPr="00A4268A">
      <w:pPr>
        <w:spacing w:before="240" w:line="276" w:lineRule="auto"/>
        <w:rPr>
          <w:rFonts w:eastAsia="Calibri"/>
        </w:rPr>
      </w:pPr>
      <w:r w:rsidRPr="00A4268A">
        <w:rPr>
          <w:rFonts w:eastAsia="Calibri"/>
        </w:rPr>
        <w:t>One of the two shortfalls identified at the previous audit have been addressed.  This was around call bells.  A further improvement continues to be required around care plan interventions.</w:t>
      </w:r>
    </w:p>
    <w:p w:rsidRPr="00A4268A">
      <w:pPr>
        <w:spacing w:before="240" w:line="276" w:lineRule="auto"/>
        <w:rPr>
          <w:rFonts w:eastAsia="Calibri"/>
        </w:rPr>
      </w:pPr>
      <w:r w:rsidRPr="00A4268A">
        <w:rPr>
          <w:rFonts w:eastAsia="Calibri"/>
        </w:rPr>
        <w:t xml:space="preserve">This audit has identified a further two areas requiring improvement including wound documentation/neurological observations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Regular contact is maintained with families, including if a resident is involved in an incident or has a change in their current health.  Relative and resident meetings are held regularly.  A system for managing complaints is in place.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Bupa Wattle Downs Care Home has an established quality and risk management system that supports the provision of clinical care and support.  An annual resident/relative satisfaction survey is completed and there are regular resident/relative meetings.  The facility is benchmarked against other Bupa facilities.  Incidents documented demonstrated immediate follow-up from a registered nurse.  There are human resources policies including recruitment, selection, orientation and staff training and development.  The service has in place an orientation programme that provides new staff with relevant information for safe work practice.  The organisational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Residents’ files include three 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 monthly by the general practitioner (GP).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are done on-site.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certificate of public use.  The call bell system is now at an appropriate volume.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Bupa restraint policy that includes the definitions of restraint and enablers.  Enablers are assessed as required for maintaining safety and independence and are used voluntarily by the residents.  At the time of the audit, there were five residents requiring the use of six restraints and three residents requiring the use of an enabler.  Enabler resident files reviewed included an assessment and consent for use of an enabler.  Restraint minimisation and enabler education has been completed.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complaints procedure is provided to resident/relatives at entry and also around the facility on noticeboards.  Discussion with residents and family member confirmed they were provided with information on the complaint process.  Complaint forms were visible for residents/relatives in various places around the facility.  The care home manager has overall responsibility for managing the complaints process at Wattle Downs Care Home.  A record of all complaints per month had been recorded on the register.  The register included relevant information regarding the complaint including date of resolution.  There have been three complaints made in 2017 and there have been no complaints received in 2018 year-to-date.  All the complaints reviewed were investigated and any corrective actions required have been followed up and implemented.  Complaints are reported to head office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alert staff to their responsibility to notify family/next of kin of any accident/incident that occurs.  Accidents and incidents are entered onto the on-line reporting tool, Riskman.  Riskman has a section to indicate if family/whānau have been informed (or not) of an accident/incident.  Fourteen accident/incident forms reviewed identified family are kept informed.  Two family members (one hospital and one rest home) interviewed confirmed that they are notified of any changes in their family member’s health status.  Seven residents (five rest home and two hospital) interviewed, stated that they were welcomed on entry and were given time and explanation about the services and procedures.  An interpreter policy and contact details of interpreters is available and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Wattle Downs Care Home is a Bupa residential care facility.  The care facility has a total of 60 dual-purpose beds, suitable for rest home and hospital (medical and geriatric) levels of care.  The service is split into two wings; 30-bed Acacia wing on the ground floor and 30-bed Mahia wing on the first floor.  During the audit there were 50 residents (31 rest home and 19 hospital).  One hospital level resident was receiving respite care and one hospital level resident was on an ACC funded contract.  All other residents were on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quality/health and safety goals for the facility have been determined and are regularly reviewed by the care home manager.  A quarterly report is prepared by the care home manager and provided to the Bupa clinical service improvement team on the progress and actions that have been taken to achieve the Wattle Downs Care Home quality goals.  Wattle Downs Care Home is implementing three goals in 2018, one national goal (health and safety) and two facility-specific (increasing occupancy and enhancing leadership within the staff).  Progress to meeting these goals is reviewed at every quality meeting and a progress report documented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an experienced RN who has worked for Bupa for the past eight years and has been in this role since October 2015 (she is currently away on extended sick leave).  There is a relieving care home manager from Erin Park that supports and visits Wattle Downs Care Home on a weekly basis (one full day a week).  The care home manager is supported by a clinical manager who has worked in the role since March 2016 (she is currently away on maternity leave and is due back at the end of July 2018) and an operations manager.  There is an acting clinical manager (unit coordinator) who has been in the position since October 2017 and has worked at Bupa for two years.  She is also completing the clinical coordinator duties.  The care home manager has maintained over eight hours annually of professional development activities related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data, including trends in data is discussed in monthly staff meetings.  The monthly monitoring, collation and evaluation of quality and risk data includes (but is not limited to) resident falls, infection rates, complaints received, restraint use, pressure areas, wounds, and medication errors.  Corrective actions are implemented when service shortfalls are identified and signed off when completed.  Wattle Downs Care Home reports, analysis and consequent corrective actions were sighted.  Interviews with staff and review of meeting minutes/quality action forms/toolbox talks, demonstrate a culture of quality improvements.  Quality and risk data is shared with staff via meetings and posting results in the staffroom.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An annual internal audit schedule was sighted for the service, with evidence of internal audits occurring as per the audit schedule.  There are resident/relative surveys conducted and analysed.  The September 2017 resident/relative survey evidenced overall satisfaction of 96% with the service.  Corrective actions were developed and completed in areas where quality improvements were identified, (i.e., around food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The health and safety representative (acting clinical manager) was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Fourteen accident/incident forms were reviewed for May 2018.  Five of the fourteen incidents were for unwitnessed falls with potential head injury, however, there was no documented evidence of neurological observations being completed for three of the five unwitnessed falls (link 1.3.6.1).  Data collected on incident and accident forms are linked to the quality management system.  The relieving care home manager and acting clinical manager are aware of their requirement to notify relevant authorities in relation to essential notifications.  There have been no section 31 notifications for any serious events (including coroner’s inquests) since the last audit.  Notifications have been completed for the care home manager and clinical manager role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(one clinical manager, one acting clinical manager, one RN and two caregivers) all documented a recruitment process, signed employment contracts, job descriptions, appraisals and completed orientation programmes.  A register of registered nursing staff and other health practitioner practising certificates is maintained.  The orientation programme provides new staff with relevant information for safe work practice.  The service has an orientation programme in place that provides new staff with relevant information for safe work practice.  The orientation programme is developed specifically to worker type (eg, RN, support staff) and includes documented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Registered nurses are supported to maintain their professional competency.  Six RNs are employed and two have completed their interRAI training.  Recent RN turnover has been high, however interRAI’s were up to date from previous RN’s.  There is also a casual RN who is interRAI trained who comes in to assist specifically for InterRAI.  There are implemented competencies for RNs including (but not limited to) medication administration, insulin administration, controlled drug administration, moving &amp; handling, oxygen administration, restraint, wound management and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Sufficient staff are rostered on to manage the care requirements of the residents.  The care home manager is currently away on extended sick leave and there is a relieving care home manager from Erin Park that visits Wattle Downs Care Home on a weekly basis.  There is an acting clinical manager who works full time from Monday to Friday (the clinical manager is currently away on maternity leave).  The relieving care home manager and acting clinical manager are available during weekdays and are on-call after hours with other RNs.  Adequate RN cover is provided 24 hours a day, seven days a week.  Sufficient numbers of caregivers’ support the unit coordinators and RNs.  Staff interviewed advised that there are sufficient staff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split into two wings, 30-bed Acacia wing on the ground floor and 30-bed Mahia wing on the first floor.  In the Acacia wing there are 30 of 30 residents (24 rest home and six hospital residents).  On the morning shift, there is one RN on duty on the morning and afternoon shifts.  The RN from the Mahia wing covers the night shift.  The RNs are supported by three caregivers on the morning shift, two on the afternoon shift and two caregivers on the night shift.  In the Mahia wing there are 20 of 30 residents (seven rest home and 13 hospital residents).  There is one RN on duty on the morning and afternoon shifts and one on the night shift.  The RNs are supported by four caregivers on the morning shift, three on the afternoon shift and one caregiver on the night shift.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A RN checks all medications on delivery against the medication and any pharmacy errors recorded and fed back to the supplying pharmacy.  The medication rooms on both floors are clean and well organised.  The medication fridges have temperatures recorded daily and these are within acceptable ranges.  Eye drops were not always dated or discarded when expired.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responsible for the administering of medications have completed annual medication competencies and annual medication education.  The service uses an electronic medication management system.  Staff were observed to be safely administering medications.  Registered nurses and care staff interviewed could describe their role regarding medicine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Nine electronic medication charts were reviewed (four hospital and five rest home) and one paper-based medication record (for the respite resident).  Photo identification and allergy status were on all electronic medication charts and one paper medication chart.  All long-term residents’ electronic medication charts had been reviewed by the GP at least three monthly.  All resident electronic medication administration-signing sheets corresponded with the medication chart.  There were no residents self-administering medication at the time of audit.  Vaccines are not stored at Wattledowns.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food services and is supported by kitchen staff on duty each day.  The national menus have been audited and approved by an external dietitian.  There is a verified food control plan.  The main meal is at lunchtime.  Residents were observed eating hot and well-presented meals at lunch time with sufficient staff to assist those that required assistance.  All baking and meals are cooked on-site in the main kitchen.  Meals are delivered in a bain marie to each kitchenette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End-cooked food temperatures are recorded on each meal daily.  Serving temperatures from the bain marie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w:t>
            </w:r>
          </w:p>
          <w:p w:rsidR="00EB7645" w:rsidRPr="00BE00C7" w:rsidP="00BE00C7">
            <w:pPr>
              <w:pStyle w:val="OutcomeDescription"/>
              <w:spacing w:before="120" w:after="120"/>
              <w:rPr>
                <w:rFonts w:cs="Arial"/>
                <w:b w:val="0"/>
                <w:lang w:eastAsia="en-NZ"/>
              </w:rPr>
            </w:pPr>
            <w:r w:rsidRPr="00BE00C7">
              <w:rPr>
                <w:rFonts w:cs="Arial"/>
                <w:b w:val="0"/>
                <w:lang w:eastAsia="en-NZ"/>
              </w:rPr>
              <w:t>Food services staff have completed food safety education, infection control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spoke positively about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five resident care plans sampled had interventions documented for all identified needs as determined by the assessment process.  This previously identified shortfall continues to require addressing.  The respite resident had a short-stay care plan that documented interventions for all identified needs.  This is an improvement from previous audit.  Residents and family members interviewed confirmed they are involved in the development and review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Comprehensive wound assessment, wound management and evaluation forms and short-term care plans were not in place for each of the 31 current wounds.  Not all wound management plans included assessments, progress notes and evaluations at each dressing change.   Residents with wounds also had short-term care plans in place that linked to wound management plans.  The five current pressure injuries each had a short-term care plan or interventions documented in the long-term care plan, except the use of equipment for one resident (link 1.3.5.2).  The registered nurses interviewed described access to the wound nurse specialist, although this was not required for any current wounds.</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examples sighted included (but not limited to), weight and vital signs, blood glucose, pain, food and fluid, turning charts, half-hourly checks and behaviour monitoring as required.  Neurological observations had not always been completed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led by an experienced activities coordinator with ten years’ experience, including four years at another Bupa facility.  The activities coordinator works 35 hours per week and is supported by two activities coordinators that each work 28 hours per week and three volunteers.  Each of the volunteers has had an appropriate orientation.  The activity programme is delivered over seven days per week.  The integrated programme for rest home and hospital level of care residents takes place in both areas.  Residents can attend activities on either floor and staff assist to transport residents to and from each floor when required.  There are resources available for care staff to use for one-on-one time with the residents.  The facility has a van with wheelchair access to facilitate resident outings.  The residents reported that they attended arts and crafts, church services, happy hour, housie, movies, the exercise programme, gardening club, quizzes and bowling.  Residents interviewed enjoy going to the library, shopping and regular trips to the local RSA and Cosmopolitan Club in the community.  The Manakau Youth orchestra visits the facility to entertain the residents and there are links with local intermediate and preschools,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 monthly as part of the care plan review/evaluation and a record is kept of individual residents’ activities.  There are recreational progress notes in the resident’s file that the activity staff complete for each resident every month.  The family/resident completes a Map of Life on admission, which includes previous hobbies, community links, family and interests.  The individual activity plan is incorporated into the long-term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praised the activity programme.  Residents were observed to be provided with and enjoying a wide range of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 care plans reviewed for residents that had been at the service for longer than six months (one hospital resident had not been at the service for six months and another was on respite care), had been evaluated by registered nurses’ six monthly.  There was a comprehensive multi-disciplinary review documented in each of these files.  The multidisciplinary review involves the RN, GP, physiotherapist,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six-monthly reviews.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which expires 8 December 2018.  Electrical and medical equipment have been checked as required.  There is a Bupa 52-week planned maintenance schedule for the site and a process in place for reactive maintenance.  Hot water temperatures have been monitored and maintained within expected levels.  The corridors and rails promote safe mobility with the use of mobility aids and transferring equipment.  Residents were observed moving freely around the areas with mobility aids where required.  The external areas and gardens are well maintained.  Resident rooms are large enough to allow use of required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near.  The call bell system has been adjusted to a more appropriate volume than previously.  This is an improvement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Relatives, residents and staff interviewed on the day of the audit stated that the emergency call bell alarm system has not caused any disruption to the residents sleeping at night.  The previous certification finding around emergency call bell alarm activations has now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Benchmarking occurs against other Bupa facilities and quality indicator corrective action plans are completed when the service exceeds the benchmark.  Those sighted had been implemented and closed off.   </w:t>
            </w:r>
          </w:p>
          <w:p w:rsidR="00EB7645" w:rsidRPr="00BE00C7" w:rsidP="00BE00C7">
            <w:pPr>
              <w:pStyle w:val="OutcomeDescription"/>
              <w:spacing w:before="120" w:after="120"/>
              <w:rPr>
                <w:rFonts w:cs="Arial"/>
                <w:b w:val="0"/>
                <w:lang w:eastAsia="en-NZ"/>
              </w:rPr>
            </w:pPr>
            <w:r w:rsidRPr="00BE00C7">
              <w:rPr>
                <w:rFonts w:cs="Arial"/>
                <w:b w:val="0"/>
                <w:lang w:eastAsia="en-NZ"/>
              </w:rPr>
              <w:t>A possible scabies outbreak was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Enablers are assessed as required for maintaining safety and independence and are used voluntarily by the residents.  At the time of the audit there were five residents requiring the use of six restraints (three bed rails and three lap belts) and three residents requiring the use of an enabler (all bed rails).  Three enabler resident files reviewed included an assessment and consent for use of an enabler.  Restraint minimisation and enabler education have been completed (August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6"/>
        <w:gridCol w:w="1280"/>
        <w:gridCol w:w="4171"/>
        <w:gridCol w:w="4338"/>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is stored in a clean and organised treatment room on each floor.  All medications are stored safely, but eye drops were not dated or discarded when expired.  Medication fridge temperatures in each treatment room have the temperature monitored daily.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Eleven eye drops in use had not been dated when they were opened and one that been dated, had not been discarded when it expired.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eye drops are dated when opened and that they are returned to the pharmacy when expired.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care plans from the rest home, and three from the hospital were reviewed for this audit.  Two of three hospital files had in-depth care plans that included all the assessed needs.  Two rest home and one hospital care plans reviewed did not address all the residents’ assessed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care plans sampled did not document interventions for all identified needs:  Resident 1 (rest home):  Resident identifies as Māori, but this was not addressed in the care plan.  Resident 2 (rest home):  The care plan had not been updated when half-hourly monitoring was no longer required.  Resident 3 (hospital):  The use of pressure reducing equipment and nutritional needs were not identified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reflect the resident’s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for residents with wounds are kept with the LTCP’s and linked to the wound care documentation.  The service has a suite of wound templates for assessment, management plans and evaluation.  However, the wound documentation had not been fully completed for 13 wounds reviewed.  Monitoring forms sighted were well completed for all monitoring except neurological observations.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Eight current wounds did not have a full and complete assessment documented.  (b) Three skin tears for one resident, and two pressure injuries for another, did not have a separate assessment, management plan and evaluation for each wound.  </w:t>
            </w:r>
          </w:p>
          <w:p w:rsidR="00EB7645" w:rsidRPr="00BE00C7" w:rsidP="00BE00C7">
            <w:pPr>
              <w:pStyle w:val="OutcomeDescription"/>
              <w:spacing w:before="120" w:after="120"/>
              <w:rPr>
                <w:rFonts w:cs="Arial"/>
                <w:b w:val="0"/>
                <w:lang w:eastAsia="en-NZ"/>
              </w:rPr>
            </w:pPr>
            <w:r w:rsidRPr="00BE00C7">
              <w:rPr>
                <w:rFonts w:cs="Arial"/>
                <w:b w:val="0"/>
                <w:lang w:eastAsia="en-NZ"/>
              </w:rPr>
              <w:t>(ii) Three of five falls with a potential knock to the head did not have neurological observations completed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&amp; b) Ensure every wound has an individual and fully completed wound assessment, management plan and evaluation.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neurological observations are completed whenever there is a potential knock to the head.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Wattle Downs Care Home</w:t>
    </w:r>
    <w:bookmarkEnd w:id="58"/>
    <w:r>
      <w:rPr>
        <w:rFonts w:cs="Arial"/>
        <w:sz w:val="16"/>
        <w:szCs w:val="20"/>
      </w:rPr>
      <w:tab/>
      <w:t xml:space="preserve">Date of Audit: </w:t>
    </w:r>
    <w:bookmarkStart w:id="59" w:name="AuditStartDate1"/>
    <w:r>
      <w:rPr>
        <w:rFonts w:cs="Arial"/>
        <w:sz w:val="16"/>
        <w:szCs w:val="20"/>
      </w:rPr>
      <w:t>20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