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Craigweil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Craigweil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2018</w:t>
      </w:r>
      <w:bookmarkEnd w:id="7"/>
      <w:r w:rsidRPr="009418D4">
        <w:rPr>
          <w:rFonts w:cs="Arial"/>
        </w:rPr>
        <w:tab/>
        <w:t xml:space="preserve">End date: </w:t>
      </w:r>
      <w:bookmarkStart w:id="8" w:name="AuditEndDate"/>
      <w:r w:rsidR="00A4268A">
        <w:rPr>
          <w:rFonts w:cs="Arial"/>
        </w:rPr>
        <w:t>21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Craigweil House can provide care for up to 68 residents requiring rest home, hospital, or dementia level of care.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There is a managing director, general manager and other support managers who work across the three facilities of Henrikwest Management Limited. There is a clinical manager on site who provides clinical oversight and day to day oversight of Craigweil House.</w:t>
      </w:r>
    </w:p>
    <w:p w:rsidRPr="00A4268A">
      <w:pPr>
        <w:spacing w:before="240" w:line="276" w:lineRule="auto"/>
        <w:rPr>
          <w:rFonts w:eastAsia="Calibri"/>
        </w:rPr>
      </w:pPr>
      <w:r w:rsidRPr="00A4268A">
        <w:rPr>
          <w:rFonts w:eastAsia="Calibri"/>
        </w:rPr>
        <w:t xml:space="preserve">Improvements are required to the following: the quality and risk management programme; identification of the facility manager; orientation and training for staff; publicly observable resident information; assessments and long-term care planning and documentation of individualised interventions; monitoring of weight loss; laundry processes; security of chemicals; documentation of controlled drugs and checking of impress stock; care of some residents requiring hospital level care; the potential for restraint of residents and monitoring of any use of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physical privacy and promote their independence.  There is a documented Maori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up-to-date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 xml:space="preserve">Consents are documented by residents or family and there are advance directives documented if the resident is competent to complete.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are annual business, quality, and risk management plans in place and these define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 clinical manager is a registered nurse with a current practising certificate.  </w:t>
      </w:r>
    </w:p>
    <w:p w:rsidRPr="00A4268A">
      <w:pPr>
        <w:spacing w:before="240" w:line="276" w:lineRule="auto"/>
        <w:rPr>
          <w:rFonts w:eastAsia="Calibri"/>
        </w:rPr>
      </w:pPr>
      <w:r w:rsidRPr="00A4268A">
        <w:rPr>
          <w:rFonts w:eastAsia="Calibri"/>
        </w:rPr>
        <w:t>There is a documented quality and risk management system in place.  There are a range of policies, procedures, and forms in use to guide practice.  Quality outcomes data is collected and tabled at relevant meetings.  An internal audit schedule is in place with audits completed as per schedule.  Adverse events are documented.</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an annual training plan in place and staff have annual performance appraisals.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hospital, and the dementia unit.  An appropriate number of skilled and experienced staff are allocated to each shift. </w:t>
      </w:r>
    </w:p>
    <w:p w:rsidRPr="00A4268A">
      <w:pPr>
        <w:spacing w:before="240" w:line="276" w:lineRule="auto"/>
        <w:rPr>
          <w:rFonts w:eastAsia="Calibri"/>
        </w:rPr>
      </w:pPr>
      <w:r w:rsidRPr="00A4268A">
        <w:rPr>
          <w:rFonts w:eastAsia="Calibri"/>
        </w:rPr>
        <w:t xml:space="preserve">Resident information can be stored securely when not in use.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each stage of service delivery.  There is sufficient information gained through the initial support plans, risk assessments, discharge summaries and the care plans to guide staff in the safe delivery of care to residents. The general practitioner reviews residents medical needs in a timely manner. </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An electronic medication management system is implemented. The registered nurses and healthcare assistants who administer medications have annual competency assessments and received annual training.  Medication records are reviewed every three months by the general practitioners or when necessary.</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and New Zealand Fire Service evacuation scheme in place.  A preventative and reactive maintenance programme includes calibration of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manoeuvring of mobility aids.  There is a dementia unit that has specifically identified secure indoor and outdoor areas for residents. Outdoor areas are available for residents in the rest home and hospital units. </w:t>
      </w:r>
    </w:p>
    <w:p w:rsidRPr="00A4268A">
      <w:pPr>
        <w:spacing w:before="240" w:line="276" w:lineRule="auto"/>
        <w:rPr>
          <w:rFonts w:eastAsia="Calibri"/>
        </w:rPr>
      </w:pPr>
      <w:r w:rsidRPr="00A4268A">
        <w:rPr>
          <w:rFonts w:eastAsia="Calibri"/>
        </w:rPr>
        <w:t xml:space="preserve">Essential emergency and security systems are in place with regular emergency drills and staff training completed.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and around management of challenging behaviour.  During the audit there were three residents using restraints and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manager is the infection control coordinator.  A suite of infection control policies and guidelines meet infection control standards.  Staff receive annual infection prevention and control education.  Surveillance data is collected, collated, and discussed in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6"/>
        <w:gridCol w:w="1280"/>
        <w:gridCol w:w="88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ensure resident rights are respected by staff.  Staff receive education during orientation and ongoing training on consumer rights is included in the staff annual training schedule (refer standard 1.2.7). Staff interviewed can articulate knowledge of the Health and Disability Commissioner’s Health and Disability Services Consumers' Rights (the Code) and how to apply this as part of their everyday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on the Code to families and residents on admission. Residents and family interviewed stated that they believe their rights were met as per the Code (refer standard 1.2.3 for additional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Consent is included in the admission agreement and sought for appropriate events and treatment.  Staff were observed to use verbal consent as part of daily service provision.  Staff interviewed demonstrated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that consent issues are discussed with the relatives and residents on admission. Consent forms are shown to them on admission and thereafter as relevant.  All residents' files reviewed include documented written consent. It was noted that the enduring power of attorney signs the consent form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deemed competent by the general practitioner have the choice to make an advanced directive. In records reviewed, all competent residents have an advanced directive. The resident signs these. The general practitioner has made a decision for some residents as not for resuscitation with this noted as being a clinical medical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Information on advocacy services is available at the entrance to the service. Staff training on the role of advocacy services is included in training on the Code with this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 or enduring power of attorney (EPOA) to be involved in decisions. Resident files include information on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report that they are encouraged to visit at any time. Residents confirmed that they are supported and encouraged to access community services independently or as part of the planned activities programme. Residents continue to be as independent as possible with activities in the community. The service encourages the community to be a part of the residents’ lives in the service with visits from entertainers.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although not all feedback is investigated (refer improvement identified in standard 1.2.3 and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with the policy and forms included in the information pack given to potential residents and family. Residents and family confirmed that they are informed by the managers that they can talk with them at any time. Training on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dates and actions taken if resolved including complaints received from the district health board (DHB). A request to follow up complaints during this audit was forwarded to the auditors from the DHB. Key areas were reviewed as part of the audit. A response to the DHB around actions taken was sighted during the audit. The DHB has since raised a separate complaint. The managers were not aware of this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independent to those raised by the DHB was tracked and indicated that the complainant was responded to as per timeframes in policy with documentation of resolution. There are a number of corrective actions raised in this report that address issues identified in the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is displayed in the facility including pamphlets available for residents and family in the dementia unit and hospital. Information around advocacy services and the Code is included in the admission information pack and described by the clinical manager as being discussed with residents and relatives on admission. Residents and relatives interviewed confirmed that the Code, the advocacy services were explained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to ensure residents are treated with respect. Staff endeavour to maximise residents’ independence by encouraging residents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patient has the right to privacy and dignity.  Discussions of a private nature are held in the resident’s room and there are areas in the facility that can be used for private meetings.  Staff report that they knock on bedroom doors prior to entering rooms, ensure doors are shut when cares are being given and do not hold personal discussions in public areas.  Practices consistent with this were observed on the days of the audit.  Residents and families confirmed that physical privacy is respected (refer standard 1.2.9 regarding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Staff state that they are committed to the prevention and detection of abuse and neglect by ensuring provision of quality care.  Staff receive training annually on abuse and neglect and can describe signs and reporting requirements.  There were no incidents of abuse nor neglect reported in incident forms reviewed nor any documented on the complaints register.  Residents, staff and family interviewed confirmed that there is no evidence of abuse or neglect.  The general practitioner (GP) interviewed confirmed that there was no evidence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for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covering cultural safety and cultural responsiveness.  The documentation includes appropriate Māori protocols and provides guidelines for staff in when supporting residents who identify as Maori.  The documentation is referenced to the Treaty of Waitangi and includes guidelines on partnership, protection, and 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described how they asked residents and family who identify as Māori, to describe what their needs are. The assessment and care plan identifies cultural needs. Strategies to support Māori to feel welcome described by staff included speaking in Te Reo for residents who identify with this as their language of choice if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if required.  Systems are in place to allow for review processes including input from family/whanau as appropriate, for residents who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on cultural safety and cultural responsiveness.  Cultural preferences are included in the assessment process on admission and individual values and beliefs are then documented in the care plan. Staff interviewed confirmed their understanding of cultural safety in relation to care.  Residents and family members interviewed confirmed that staff respect their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emphasised a focus on using signs and body language for residents who have difficulty communicating. Staff also described using simple language and giving simple choices for residents who have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policy and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an awareness of the importance of maintaining boundaries with residents.  Residents and relatives reported that staff maintain appropriate professional boundaries, including the boundaries of the caregiver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by an external consultant.   Clinical staff have access to the internet and external expertise if they need to consult and/or gain further clinical knowledge or advice with this able to be described by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mandatory training requirements for staff and other significant clinical aspects of care delivery (refer standard 1.2.7).  Staff interviewed confirmed that the facility is a learning environment that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are very happy and satisfied with the care provided to their relatives and expressed a satisfaction with the care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are members of the New Zealand Aged Care Association and the Care Association New Zealand with conferences 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covering communication, access to interpreters and management interviewed reported that they have an open-door policy.  Information is provided in a manner that the resident can understand.  Relatives and residents can discuss issues at any time with staff. Resident meetings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 forms include an area to document if the relatives have been contacted.  Open disclosure is practised and documented when family are contacted.  The general practitioner interviewed reported satisfaction with communication from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use of interpreters and access to interpreting services is documented. Staff can describe how they would access interpreting services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of the service also own two other facilities. The managing director purchased the first service in 2001, a second one in 2004 and this one in September 2017. The managing director provides overall management of the facilities with the general manager providing operational management over three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has agreements in place with Waitemata District Health Board (WDHB) for the provision of aged residential care, the provision of Long Term Supports-Chronic Health Conditions, and an agreement with the Ministry of Health for Residential Non-Aged care.  All residents were identified as being under the Aged Care Contract on the day of audit. One resident was identified as being a young person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68 beds identified as being certified, 28 are identified as dual-purpose beds; 20 as being rest home beds only and 20 identified as being for residents with dementia requiring a secure unit. On the days of the audit, there were 47 residents including 14 requiring rest home level of care; 21 requiring hospital level of care and 12 requiring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purpose, values, priorities, and goals are documented in the annual business plan for 2017-2018.  These goals are then included in the quality and risk management programme. The goals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initial meeting, the general manager stated that they had been in the company for over five years with three years as the quality manager and two and a half years as general manager over all sites. The general manager has a Bachelor of Business Management and a background as quality manager prior to current roles. Staff, family and the general practitioner raised a lack of clarity around who was in the role of facility manager as the previous facility manager had moved out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administration manager is appointed across all sites. They have been with the company for 13 years with previous experience as an overseas registered nurse (not registered in New Zealand). They have held their current position for two years and hold a role in collating and monitoring results of internal audits. An office manager is based at Craigweil and is responsible for oversight of administrative tasks.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(registered nurse) is employed full-time and has been in the role since July 2017 with 13 years previous experience in nursing in aged care including clinical and management experience in dementia and psychogeriatric units.  The clinical manager provides clinical oversight with the general manager stating that they also provide day to day overall management of the facility.  All managers including the clinical manager have competed at least eight hours of education in the last year relevant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managing director is available and experienced to cover the service.  If the clinical manager was on leave, then an identified senior registered nurse would be able to provide clinical oversight. The registered nurse who would provide cover if the clinical manager was interviewed and was aware of that role. The registered nurse interviewed also has a sound knowledge of rest home, hospital, and dementia levels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This includes a business quality plan that is reviewed annually. The philosophy of the service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 by the external consultant, with input from the managers. Policies are linked to the Health and Disability Sector Standards, current and applicable legislation, and evidenced-based best practice guidelines.  Policies are available to staff in hard copy.  A document control system is implemented and this ensures that documents are approved, up to date, and managed to preclude the use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review and resolution of complaints; review of incidents and accidents; surveillance of infections; monitoring for any pressure injuries; feedback from residents and family and implementation of an internal audit programme. The internal audit schedule is documented annually with audits completed as per schedule with the administration manager providing oversight and reporting on audit results. An improvement is required regarding the completion of clinical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meetings includes the expectation that the meetings are held monthly. While some are held monthly as scheduled, there are others that include the laundry, kitchen and activities meetings that are not held as scheduled. An agenda for each meeting ensures that all elements of the quality and risk management programme can be discussed. An improvement is required regarding implementation of the meetings schedule. Residents and family have also indicated that they would like more frequent meetings and this has been noted as a recommendation. </w:t>
            </w:r>
          </w:p>
          <w:p w:rsidR="00EB7645" w:rsidRPr="00BE00C7" w:rsidP="00BE00C7">
            <w:pPr>
              <w:pStyle w:val="OutcomeDescription"/>
              <w:spacing w:before="120" w:after="120"/>
              <w:rPr>
                <w:rFonts w:cs="Arial"/>
                <w:b w:val="0"/>
                <w:lang w:eastAsia="en-NZ"/>
              </w:rPr>
            </w:pPr>
            <w:r w:rsidRPr="00BE00C7">
              <w:rPr>
                <w:rFonts w:cs="Arial"/>
                <w:b w:val="0"/>
                <w:lang w:eastAsia="en-NZ"/>
              </w:rPr>
              <w:t>Data is tabled at the meetings however there is insufficient evidence in meeting minutes to confirm that data is analysed and discussed with recommendations leading to improvements in service delivery or organisational management. At times corrective action plans are documented and/or there is evidence of resolution of issues at following meetings however this is not consistently completed. Resident meetings are held quarterly and family can attend if they wish. Improvements are required regarding analysis of quality related data and the corrective action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are kept informed of quality improvement and risk management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meetings as part of the health and safety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being reported with these signed off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forms show evidence of immediate responses, investigations and remedial actions being implemented as required.  This includes reporting to family members and informing the general practitioner when incidents occur. Both family and the general practitioner interviewed confirmed that incidents are reported in a timely manner.  The sample confirmed that incidents and accidents are closed following review by the clinical manager and linked to the quality system with documentation of data at relevant meetings (refer standard 1.2.3 regarding the analysis of quality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could describe the statutory and/or regulatory obligations in relation to essential notification reporting and can describe the process of notification to the correct authority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All staff records sampled include an employment agreement and a position description.  Staff have criminal vetting prior to appointment and professional qualifications are validated.  All staff receive an orientation and participate in ongoing refresher education however documentation of the orientation programme does not sufficiently differentiate training around the different levels of service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with training held monthly. Training records are maintained with staff signing to confirm attendance. Some sessions are well attended and others have low attendance. An improvement is required to ensure all staff receive the required training. Performance appraisals are completed for all staff who have been employed for 12 months or more and this ensures that any individual training needs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each shift.  The registered nurses hold current first aid certificates with evidence of these being current in staff files for registered nurses reviewed.  Two registered nurses are interRAI competent including the clinical manager and another registered nurse.  Medicines are given by registered nurses and health care assistants who have been assessed as competent in the rest home and dementia unit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staff member working in the dementia unit has completed training in dementia. There are six who have nearly completed training (currently completing the last module) and three enrolled (new staff). The nine staff nearly completing or enrolled in training are newer staff or new staff who will complete training within the timeframes documented in the DHB agreement. There is a potential gap in knowledge in the meantime given the number of staff who have yet to complete training however staff interviewed on the day had a sound understanding of the philosophy of the unit; knowledge of managing challenging behaviour and understanding of offering resident’s choice. Staff working in the dementia unit are also supported by a registered nurse on each shift who can provide support and ongoing training in the unit. The clinical manager provides support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considers the layout of the facility and levels of care provided.  Staff rosters are developed by the clinical manager and the administration staff.  Rosters and staff interviewed, and observation on the days of audit, confirmed there were sufficient numbers of staff in each area to meet minimum requirements as specified in the contract with the District Health Board. There are seven casual health care assistants who are available to pick up extra shifts when staff rostered are on leave with a review of rosters confirming that staff are replaced if absent.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on duty with a current first aid certificate on each shift.  The clinical manager is on site Monday to Friday and on call for clinical emergencies/concerns.  A registered nurse also provides an on-call service with staff stating that they can call for assistance at any time. Staff stated that on call staff respond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allocated to each area. There are three health care assistants in the rest home on the morning (one short shift; two in the afternoon (one short shift) and one caregiver overnight. There are two health care assistants in the dementia unit in the morning and afternoon and one overnight. In the hospital area, there are four health care assistants in the morning (one short shift); three health care assistants in the afternoon and one overnight. The registered nurse relieves the health care assistant in the dementia unit so breaks can be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numbers have been reduced since the change in ownership after a review of the numbers of residents, acuity of residents and contractual specifications. Care staff interviewed state that they can complete tasks on each shift and that the staffing currently meets their needs in relation to the ability to provide care to individualised residents. There are now 48 staff employed including the clinical manager (40 hours a week); diversional therapist (full time, caregiver who provides activities two days a week, activities coordinator for over six hours one day a week with an advertisement for another activities coordinator; five registered nurses; six household staff; 20 health care assistants plus seven casual health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manager is on site two days a week and the general manager is on site two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integrated record (containing all records documented by staff and other health professionals) with those reviewed indicating that they are maintained.  All records are maintained confidentially with these locked in a secure area when not in use. The nurses station has a large window that looks out onto the hallways. A white board details resident information and this can be publicly viewed from the hallways and an improvement is required.   A record of past and present residents is maintained electronically.  InterRAI assessments are completed by the clinical manager or a registered nurse. Progress records are documented by the care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Craigweil House has admission policies and processes in place.  Residents receive an information pack outlining services able to be provided, the admission process and entry to the service.  Residents are screened prior to entry and a record is kept of all admissions and any enquiries to the organisation. The facility information pack is available for residents and their family and contains all relevant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receive information prior to admission and have the opportunity to discuss the admission agreement with the assistant manager or clinical manager.  The admission agreement form in use aligns with the requirements of the Aged Residential Care (ARC) contract. Each resident, family or enduring power of attorney has been asked to sign a new admission agreement as part of the process of purchase of the service. This has been completed with some additional costs included. Residents were also asked to have a credit in a personal spending account and it is noted that this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as required.  Residents who require admission to hospital are managed appropriately and relevant information is communicated to the DHB.  The facility utilises the DHB approved system when transferring residents to the hospital. Relatives are notified if a transfer occurs. Care staff described providing a verbal handover to another facility if this occurs to ensure continuity of care. Scheduled hospital appointments are also discussed with the other facility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are documented and reviewed annually.  The medications are securely locked in the medication room.  Medication administration practice complies with the medication management policy, for the lunchtime medication round observed. There were no residents self-administering medications on the days of audit although a policy is documented to guide practice should this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electronic management system for documenting administration of medicines was implemented in April 2018. Staff have been trained in the use of this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reconciliation process is implemented and medications are checked on arrival. Any errors are recorded and fed back to the supplying pharmacy.  Registered nurses are competent to administer medications to residents requiring hospital level care and healthcare assistants assessed as being competent can administer medications to residents requiring rest home or dementia level care.  Competencies sighted confirmed that registered nurses and health care assistants giving medication on the day were designated as being competent.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is checked daily with temperatures within the range identified in policy. The fridge is locked to secure medications. Eye drops are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checked by two people and the register is checked weekly and every six months. Improvements are required in relation to the management of controlled drugs and medication stock takes.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records were sampled.  All charts were legible, up-to-date, and reviewed as required by the GP. There was photo identification on each medication record and allergy status was recorded.  ‘As required’ medications had prescribed indications for use recorded. Pain assessments are conducted when staff administers analgesia and controlled drugs.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food is cooked on-site.  The chef works Mondays to Fridays. The evening meal is prepared by the chef and the healthcare assistants heat and serve. There is a food service manual in place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four-weekly seasonal menu (last reviewed by a dietitian last December 2017).  A resident nutritional profile is developed for each resident on admission and provided to the kitchen staff (refer standards 1.3.4 , 1.3.6.1 and 1.3.5). The temperatures of refrigerators, freezers and cooked foods are monitored and recorded.  Temperatures recorded are within normal range as identified in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 equipment available for residents if required.  All food is stored appropriately.  Meals for the hospital and dementia units are transported in an insulated bain marie.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provided including pureed food and soft diets. It was noted during lunch time in two areas where lunch was taking place, that serving plates are of small size for all residents. Residents interviewed, however, were happy with the quality, amount and variety of food provided noting that food services had been reviewed following previous concerns raised by residents and family. It was noted during mealtime that residents were able to ask for extra with sandwiches and fruit also available. Observation of meals in the dementia unit and discussion with the staff on duty at lunchtime indicated that they observed residents closely and offered extra food to residents with encouragement for them to eat.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reports that they have not declined any resident because they provide three levels of care (rest home, hospital and dementia). Each resident has a needs assessment prior to being accepted and this guides placement into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entry was declined, the reason would be documented in the enquiry form and the potential resident would be referred to the referring agency for appropriate placement and advice. The enquiry/decline to entry form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information around personal needs is gathered during admission. Residents and relatives interviewed confirmed that they had input into the entry process. InterRAI assessments are completed within three weeks after entry to the service.  Standardised risk assessment tools are completed on entry to the service and at six monthly intervals. InterRAI assessments are completed six monthly and identifies key issues for each resident. Equipment provided is relevant to resident needs. This includes supplies of continence products and staff interviewed state that they do not run out of supplies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to the sequence between completing the interRAI assessment and care plans and ensuring all assessment data is reviewed. A focus on assessment of weight loss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had long term care plan in place. The long-term care plans describe general strategies and interventions for the residents (refer 1.3.6.1). Individualised strategies and interventions have not been consistently documented to meet individual needs identified through the assessment process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 that they are involved in the care planning process. Short-term care plans are developed when acute conditions are identified. For example, infections.  Staff interviewed report that they read the care plans regularly. Each resident has an integrated record, and this demonstrates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can describe cares for each resident. Generalised interventions and strategies are required to be documented. At times the information is included in care plans and at other times this is verbally handed over to other staff. Care staff report progress for each resident at handover at the end of each shift.  </w:t>
            </w:r>
          </w:p>
          <w:p w:rsidR="00EB7645" w:rsidRPr="00BE00C7" w:rsidP="00BE00C7">
            <w:pPr>
              <w:pStyle w:val="OutcomeDescription"/>
              <w:spacing w:before="120" w:after="120"/>
              <w:rPr>
                <w:rFonts w:cs="Arial"/>
                <w:b w:val="0"/>
                <w:lang w:eastAsia="en-NZ"/>
              </w:rPr>
            </w:pPr>
            <w:r w:rsidRPr="00BE00C7">
              <w:rPr>
                <w:rFonts w:cs="Arial"/>
                <w:b w:val="0"/>
                <w:lang w:eastAsia="en-NZ"/>
              </w:rPr>
              <w:t>A wound assessment and wound management plan is in place for residents with wounds.  All wounds have been assessed, reviewed, and managed within the stated timeframes.  The long-term care plan for each refers to the wound management plan. Registered nurses and the clinical manager interviewed stated that they could access the DHB wound nurse specialist when required.  There was evidence in files of the referral of the residents to the wound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for example, vital signs, wounds and behaviour (refer standards 1.3.4 and 1.3.5).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they have access to sufficient wound management supplies and continence products. The dressing trolleys are well-stocked as well as the continence products cupboard as sighted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time diversional therapist is employed from Monday to Friday to provide activities for the residents. Health care assistants assist with activities in the weekends.  Each resident has an individual activities assessment completed on admission. Activity plans are developed from information gathered in the activities assessment and interview with the resident/family on entry. </w:t>
            </w:r>
          </w:p>
          <w:p w:rsidR="00EB7645" w:rsidRPr="00BE00C7" w:rsidP="00BE00C7">
            <w:pPr>
              <w:pStyle w:val="OutcomeDescription"/>
              <w:spacing w:before="120" w:after="120"/>
              <w:rPr>
                <w:rFonts w:cs="Arial"/>
                <w:b w:val="0"/>
                <w:lang w:eastAsia="en-NZ"/>
              </w:rPr>
            </w:pPr>
            <w:r w:rsidRPr="00BE00C7">
              <w:rPr>
                <w:rFonts w:cs="Arial"/>
                <w:b w:val="0"/>
                <w:lang w:eastAsia="en-NZ"/>
              </w:rPr>
              <w:t>Interventions related to activities were detailed for the specific resident and were age appropriate. There is a 24-hour activity plan for each resident in the dementia unit.  The activity plans are evaluated every six months with an assessment and activity care plan updated (refer to standard 1.3.4).</w:t>
            </w:r>
          </w:p>
          <w:p w:rsidR="00EB7645" w:rsidRPr="00BE00C7" w:rsidP="00BE00C7">
            <w:pPr>
              <w:pStyle w:val="OutcomeDescription"/>
              <w:spacing w:before="120" w:after="120"/>
              <w:rPr>
                <w:rFonts w:cs="Arial"/>
                <w:b w:val="0"/>
                <w:lang w:eastAsia="en-NZ"/>
              </w:rPr>
            </w:pPr>
            <w:r w:rsidRPr="00BE00C7">
              <w:rPr>
                <w:rFonts w:cs="Arial"/>
                <w:b w:val="0"/>
                <w:lang w:eastAsia="en-NZ"/>
              </w:rPr>
              <w:t>There are a wide variety of activities offered for the residents.  The activities timetables are displayed in the units and in the main entrance (rest home, hospital, and dementia unit).  There is a van outing with weekly trips to places of interest. Special events like birthdays, Father’s Day and mid-year Christmas are celebrated.  Some residents attend activities of their own interest in the community.  Church services are provided during the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prefer to stay in their room have one-on-one visits for discussion about topics of interest, hand massage and music.  Residents are free to choose whether they wish to participate in the group activities.  Participation is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come and go from the facility as they please.  Residents who are able, regularly visit the local cafes and shops and were observed to go out on audit days.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reported they are aware of the resident’s needs and interest.  The registered nurses are aware of appropriate external resources to support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who attend the programme stated that it meets their needs and confirmed that attendance was voluntary. The programme observed in the dementia unit was particularly inclusive of residents and residents appeared to be enjoying the wide range of activities. Activities were also observed to occur for residents in the rest home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in new care plan templates are in place in all reviewed resident’s files however, there was insufficient evidence of evaluation of the previous long-term care plans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developed when acute conditions were identified. There is evidence that short-term care plans were evaluated. Registered nurses reported that they change the interventions when the desired outcomes are not met.  Progress notes are documented at every shift by the health care assistant and the registered nurse documents in the progress notes at least daily for residents using hospital level care. The registered nurse writes a summary in the progress notes for residents in the dementia or rest home at least once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registered nurses can refer a resident to non-medical services with the GP referring any resident to other medical services and medical specialists as required.  Referral documentation is maintained on resident files.  The registered nurses initiate referrals to nurse specialists and allied health services. Referrals and options for care are discussed with the family, as reported by the clinical manager, and registered nurses and as confirmed by residents and family members interviewed. Evidence of referrals to appropriate specialists including those in the DHB was sighted in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specify labelling requirements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 The health care assistants demonstrated knowledge of handling waste and chemicals and were observed to keep the cleaning trolleys in sight when in use. Cleaners in the dementia unit were particularly vigilant around keeping chemicals in sight when in use (refer standard 1.4.6.3).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equipment/clothing (PPE) is available. Staff confirmed they can access PPE at any time and were observed wearing disposal gloves and aprons when these were required. Staff state that they do not run out of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Waste is mostly of a domestic-type and is managed via a recycling programme or by local council contracted services.  An external contractor collects medical hazardous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is due to expire February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are connected under one roof with the dementia unit having a separate roof line. The dementia unit connected to the hospital unit by a covered walkway.  The hospital and dementia units are purpose-built units with the rest home being an older building. The maintenance person and contractors implement planned and reactive maintenance. There were no bad urine smells lingering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and reactive maintenance programme in place. A review of the log of maintenance issues identified that these were addressed promptly and signed off in a timely manner. The preventative maintenance schedule is signed off when completed with this reviewed at regular intervals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internally and externally is maintained to minimise risk of harm, promote safe mobility, aid independence and is appropriate to the needs of the current residents. The electrical equipment is checked and records maintained.  Testing and calibration of medication devices occurs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vehicles that can be used for transporting residents.  There is a system for managing the vehicle warrant of finesses and current registrations.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available for all residents including verandas and outdoor garden areas in the secure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basins and showering facilities available for residents.  Most bedrooms have a hand basin, except for two.  The rest home has communal toilets with some containing showers.  The dementia unit has large shared bathrooms with toilets and showers.  The hospital includes some bedrooms with an ensuite.  There are appropriate privacy protections in place when showers and toilets are in use with these observed to be used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own room except for three rooms in the rest home room which are double rooms that can accommodate couples.  Couples are each able to have privacy in their room if required noting that these were not used as double rooms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rooms have double doorways for beds and easy hoist access if required.  There is room for mobility aides to be used safely in most resident’s rooms. Two rooms were noted to be too small to safely manage equipment and lighting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there is sufficient space in each room for personal items apart from family who commented on one of the hospital rooms that had insufficient space to manage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lounges in all units including the dementia unit.  There are smaller rooms available throughout the building with comfortable seating for family/visitors and group meetings.  The lounges are also used for activities.  Each area has a dedicated dining room.  There is a sunny enclosed sunroom in the rest home adjoining the rest home lounge that is utilised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laundry and linen service manuals available containing all relevant cleaning and laundry policies and procedures to guide staff. Staff know how to access the information and can describe implementation as per policy. There are material data sheets available for all chemical products used for cleaning and the laundry.  The cleaning and laundry service is monitored through the internal audit programme to ensure resident and relative satisfaction is maintained. Residents and relatives interviewed confirmed satisfaction with the cleaning and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cleaners seven days a week.  All cleaning processes are documented clearly for each area of service. There is adequate storage for all chemicals in locked designated areas however some communal or other areas have chemicals in them. An improvement is required to ensure all chemicals are safely stored at all times. There is a cleaning schedule in place with documented daily cleaning tasks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Laundry is performed by dedicated staff seven days a week.  There is a large laundry on site that contains commercial grade washing machines and clothes dryer and there is an outside washing line which is used as much as possible.  There is dirty and clean separation in the laundry however on the day of audit there was a clean box with linen located in the dirty area and an improvement is required. Staff could describe procedures including soaking and washing of soiled and/or infectious linen.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dated 12 July 2012.  There is an evacuation plan that supports staff and residents to exit the building in an emergency. Emergency drills take place every six months as required. Annual training is also provided on emergencies and security from a health, safety, and reporting perspective.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battery lights, a gas barbecue, linen, continence products, torches and batteries, water, gas heaters, and a gas stove.  Food dry stock and frozen foods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three units. All rooms checked during the audit had a call bell with residents in their room having access to this (by their bed or placed beside them if in a chair). The call bells in the dementia unit can be heard and identified by staff in the hospital. A sample of call bells tested on the days of audit were operational.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is maintained.  The dementia unit is secured with a door with key pad entry.  On the first day of audit it was noted that the door did not close completely although an alarm was activated if the door did not properly close. This was identified as an issue and by the second day the door had been fixed. There is a perimeter fence that has doors with key pads on two gates.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afternoon and night shifts are responsible for ensuring that all doors and windows are closed appropriately, and doors are locked to prevent intruders.  The facility manager, person on call or emergency services can be contacted if staff are concerned or if an emergency occurs. Visitors who come after hours can contact staff if they wish to enter.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external window that can be opened for ventilation.  The buildings are ventilated by opening windows and doors and extraction systems.  Heating is managed by use of heaters in the hallway in the rest home and some residents have individual electric heaters in their rooms which are checked by the electrician and tagged appropriately.  A built-in heating system heats the hospital and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Craigweil House has an infection control programme that is reviewed annually.  The infection control programme, its content and detail, is appropriate for the size, complexity and degree of risk associated with the service.  The clinical manager is the designated infection control coordinator.  The infection control coordinator has support from all staff and the general practitioner as confirmed by the general practitioner when interviewed.  Internal audits have been conducted and include hand hygiene and infection control practices.  Infection prevention and control is included in the orientation programme for all new staff. In-service education is provided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in place to implement the infection control programme.  The infection control coordinator states that they can get support from the GP. The infection control coordinator reported that they can seek advice from the DHB infection control nurse when needed. Infection prevention and control is part of staff orientation programme.  Hand washing facilities are available throughout the facility and hand sanitiser is freely available. There are also adequate supplies of gloves, continence products and wound care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are documented. Staff are familiar with the policies and can describe best practice. The infection control manual outlines a comprehensive range of policies, standards and guidelines and includes the infection control programme, responsibilities and oversight, training, and education of staff.  The policies have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prevention and control is included in the induction programme for new staff. Infection control education has been provided this year.  Staff also receive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infection prevention training last in 2018. Information is provided to residents and visitors that is appropriate to their needs.  Residents were also educated in the use of sanitisers and the importance of hand 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of infections. Clear definitions of surveillance and types of infections (for example; facility-acquired infections) are documented to guide staff. Information is collated monthly.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 xml:space="preserve">Infections are investigated and appropriate plans of action are sighted in meeting minutes. The surveillance results are discussed in the infection control meeting. When infections were sighted as occurring in files sampled, these were checked in surveillance data. All were recorded and data used to review outcomes both for the individual and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infections. The use of antibiotics is also captured in the data.  Surveillance of all infections is entered onto a monthly infection summary. This data is monitored and evaluated monthly and annually.  Outcomes and action plans to reduce the infection rates are discussed at monthly meetings. Overall infection rates are low. A suspected outbreak in December 2017 was well managed by the provider. The general practitioner and public health unit was notified and both monitored and provided advice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Craigweil House has policies and procedures around restraint minimisation and safe practice.  Care staff interviewed state that there is a focus on minimising the use of restraint. There were three residents using restraints and one resident was using an enabler at the time of the audit.  The restraints used are approved and identified in the policy.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environmental restraint in place in the dementia unit with the unit being secure always.  Staff and families are provided with the code for the keypads so that they can enter and exit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Staff receive annual training on restraint minimisation and safe practice. The healthcare assistants interviewed can describe the difference between a restraint and an enabler and can identify residents using a restraint or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is in place.  Restraint minimisation policies and procedures describe approved restraints including environmental restraint.  The clinical manager is the designated restraint coordinator and they demonstrated good knowledge around restraints and ways to minimise injury to the residents. A signed job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Consent for restraint is signed by the family member, the general practitioner, and the restraint coordinator. Files reviewed for residents using restraint confirmed that a consent was in place with this reviewed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 partnership with the family member/s and the general practitioner are responsible for assessing a resident’s need for restraint.  Restraint assessments are based on discussions with the resident and family and observations by staff.  A restraint assessment tool is utilised when restraint is indicated (refer standards 1.3.4 and 1.3.5).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for a resident using restraint was reviewed. An assessment for use of restraint was documented and this included the identification of any risks associated with the use of a restraint and the frequency of monitoring.  Staff describe using other strategies and interventions prior to the approval of restraint. Restraint use is linked to the resident’s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restraint register is in place.  The register identifies any residents using a restraint (or enabler), and the type of restraint used. The restraint assessment reviewed identified that restraint is being used for the safety of residents.  The frequency of monitoring residents while on restraint is documented.  An improvement is required regarding restraint monitoring and locks on bedroom doors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six-monthly or as changes occur by the restraint coordinator. Restraint use is discussed in the staff meetings and during hand-overs. The family member, general practitioner, the restraint coordinator, and other staff are involved in the evaluation of the use of restraint including ongoing effectiveness. One family member interviewed confirmed that they were fully consulted in the use of restraint and had been involved in the evaluation of the use of restraint for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every six months. Evidence of review of policies and procedures, in the meeting minutes and in discussions with the restraint coordinator and staff confirmed ongoing discussion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use of restraint, the goal to minimise use of restraint and the risks of the restraint. Staff also reported that the training they receive on restraint minimisation and safe practice is adequate. Staff can describe use of restraint as per policy.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2"/>
        <w:gridCol w:w="1280"/>
        <w:gridCol w:w="6064"/>
        <w:gridCol w:w="1581"/>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different perceptions around who is the ‘facility’ manager. This was discussed prior to and at the closing meeting by the management director and general manager at the opening and closing meetings with the explanation that the title of facility manager is not held at Craigweil House. There is a clinical manager, office manager and general manager. The site manager is the clinical manager with support with governance and oversight from the general manager who operates over three facilities. A change of manager notification form has been sent to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can describe their role as having clinical oversight as per the job description. The general manager states that the clinical manager is also the ‘facility’ or site manager however the clinical manager was not aware of this role. The previous facility manager is no longer in the service. The general manager identifies their role as being across three facilities with a role as ‘facility manager’ for the service. The general manager also states that they see the clinical manager as being also responsible for day-to-day operational management. The general practitioner, family, residents, and staff interviewed are not aware of who is identified as the ‘facility’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clarity around who holds the role of ‘facility’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clarity around who holds the role of facility manager.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through monitoring of complaints, incidents, accidents, satisfaction surveys and internal audits. Satisfaction surveys are also completed as per the documented schedule. An internal audit schedule is implemented. The data is tabled at relevant meetings. Staff state that they are informed of data through relevant meetings. Staff and managers state that there is discussion of data at meetings however this is not documented sufficiently to confirm that there is analysis and discussion of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evidence in meetings minutes to confirm that quality related data is analysed, discussed and used to improve service delivery.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discussion and analysis of quality related data that is then used to improve service delivery.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meetings that are held monthly and these include the management; staff and registered nurse meetings. Other monthly meetings are not held monthly as expected and scheduled. These are the laundry; kitchen and activities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kitchen and activities meetings are not held monthly as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frequency of meetings and implement the meeting schedule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implemented with corrective action plans documented at times when issues are identified. There is insufficient evidence to confirm that corrective action plans are documented at all times when issues are identified through other means. The administration manager is responsible for completion of the internal audit schedule. This includes completion the audit, collating data and communicating results including those related to clinical audits such as the resident file audits. The clinical manager states that they do not have any role in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completed in the past six months for example, identified that each of the five respondents had feedback that focused individually on a lack of communication, lack of care, staff not relaxed and staff overworked. While a report was completed with positive feedback, there was no indication that a corrective action plan had been documented to address the concerns raised. Meeting minutes did not always evidence resolution of issues when these were raised and residents wanted more resident meetings to provide opportunities for them to speak safely.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not always documented when issues are raised and there is not always evidence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The administration manager completes internal audits including clinically based audits including reporting of results to management but is not clinically trained.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corrective action plans when issues are raised with evidence of resolution of issues including addressing of resident issues in a safe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Provide opportunities for clinical staff to have input into the internal audit programme particularly when there are internal audits involving clinical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documented. This is generic and covers key aspects of the organisation and service delivery. The programme does not specify orientation for each level of care by describing the differences, management of specific residents and acuity of residents. There are nine staff currently completing or enrolled in the New Zealand Qualifications Authority training for dementia who work in the dementia unit and it is unclear if the orientation programme prior to the completion of this included training specific to that area. Staff state that they complete an orientation programme that includes reading of policies and procedures, working alongside a buddy in each area and on different shifts.  Staff interviewed stated that the orientation is sufficient.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does not specifically differentiate between different levels of care provided (rest home, hospital,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an orientation programme that includes orientation to different levels of care and support.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with training held monthly. Training records are maintained with staff signing to confirm attendance. Some sessions are well attended and others have lower attendance. A system to ensure that staff who cannot attend training is not always in place noting that some sessions are repeated to enable other staff to attend.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attendance for training sessions at times shows that there is a low attendance and another system to support staff who cannot attend to access training is not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 process to provide training to staff who are unable to attend training offered and implement.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are locked in a secure place when not in use. There is a nurse’s station that has a window looking out onto hallways. This provides opportunities for staff using the office to view what is happening in the hallways particularly for example, when handover occurs as observed during the audit. There is a whiteboard that informs staff of residents’ care needs. This can be viewed from the hallway. When this was identified during the audit, the staff placed paper on the windows. This was not sufficient to block the whiteboard and was not considered a long-term solution as it then restricted the view of the hallways by staff in the nurses’ station.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 whiteboard in the nurses’ station can be publicly observed.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 information is not publicly observable.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checked weekly by two staff as well as a six-monthly medication reconciliation completed by the pharmacist. The clinical manager identified discrepancies in the balance recorded for some liquid controlled medicine however actions have been put in place to address this. The controlled drug register records a correct balance for the drugs checked during the audit. Staff record any administration of controlled drugs and this automatically records the time date of administration. Staff record the date of administration in the controlled drug register, however at times, staff do not record the time of administration in the controlled drug register.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stores impress stocks such as antibiotics and other medications for residents in the hospital. There are no checks of the impress stock. There is no impress stock for residents in the dementia unit or in the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Time of administration of controlled drugs is not consistently documented in the controlled drug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impress system and stock is not checked at regular intervals.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the time of administration of controlled drugs in the controlled drug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Check the impress system and stock.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completed on entry and at six monthly intervals. The interRAI assessment is being completed after the documentation of the care plan and therefore, the assessment is not used as the basis for service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identifies any resident losing weight. Nursing staff state that they do not monitor weight loss for residents as a group and are therefore not sure of numbers of residents losing weight. The clinical manager states that the service is currently putting a system in place to monitor weight loss. One file reviewed for a resident with weight loss did not evidence that the assessment was used as the basis of care planning (refer 1.3.6.1).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not completed prior to the care plans being documented in all seven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no system to identify key clinical issues particularly related to weight loss documented in the interRAI assessment for a group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the interRAI assessment prior to the care plan being documented and use as a basis for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Use the assessment to inform the care planning for residents losing weight and develop and implement a system to monitor residents as a group who are losing weight with evidence that service delivery is changed to meet resident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sampled had long-term and short-term care plans. Care plans are developed using a newly introduced template. This does not provide individualised strategies and interventions to meet specific clinical needs as identified in the assessment (refer 1.3.4). One resident record for example, recorded a weight loss over a six-month period. The long-term care plan was not updated when weight loss was identified. The assessments in resident records reviewed identified specific individual resident needs such as management of frequent falls; skin conditions; continence issues and depression. The care plans did not individualise required support or interventions to meet the desired outcomes. There is no mention of the  dietitian's report with a request for the non use of milk powder and the need to use full fat milk or the need for extra protein to be added to residents' meals as per specific individual need. As interventions had not been clearly documented, the cook was not able to fully follow specific needs for each resident.  There were also incomplete documentation for one resident using a specific piece of equipment (refer to 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include specific individualised strategies and interventions to meet the needs of residents identified through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interventions and documentation around the use of a specific piece of equipment for one resident was inadequate (a lack of monitoring /usage and outcome of use of this device) given the complexity of need for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individualised to meet needs identified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Identify specific interventions for the use of CPAP to meet resident need and implement (note that this issue should be addressed as soon as possible).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signed off when the issue is resolved. Long-term care plans are completed at the six-monthly timeframe with goals and interventions documented (refer standard 1.3.4). The service is now using a new format to align with the other two facilities owned by the same company and all previous care plans have been rewritten in to a new format when a new owner took over the facility in 2017. There is no evidence that the previous care plan has been evaluated in the majority of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files sampled provided evidence of a documented evaluation of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Evaluate each long-term prior to the new care plan being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rooms have double doorways for beds and easy hoist access if required in most instances.  There is room for mobility aides to be used safely in each resident’s room. It was noted at audit that there were at least two residents (hospital level care) in rooms that required chairs, bed tables etc to be moved out into the corridor (in order to safely use a hoist), thus causing a hazard. Also individual lighting was provided in these rooms by use of a torch strapped to a wall in one instance and a touch battery operated light in another, both were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rooms for residents requiring hospital level care are not suitable for cares to be provided given the complexity of need and acuity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needs and acuity of residents requiring hospital level of care to confirm that cares are able to provided safely and as per individual need.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designated areas for dirty and clean laundry. On the day of audit, there was a box of clean linen (covered by plastic) placed in the dirty area. Staff in the area did not notice that this was in the incorrect area and the box stayed in the dirty area overnight despite staff being informed of the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storage for all chemicals in locked designated areas however some communal or other areas have chemicals in them. These rooms are not locked when unattended. The cleaners trolley is left in the sluice room when the cleaner takes a break. This room was not locked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Areas identified as clean and dirty were not adhered to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sighted in rooms that were not locked on the days of audit including the sluice room, some bathrooms.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training to staff to ensure that clean and dirty areas are used appropriately and monitor to ensure that this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chemicals are stored and safe secure areas when not in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using restraints (bedrail, chair with table and chair against the bed). The resident records reviewed indicate that frequency of monitoring the restraint is documented however there is little evidence that monitoring is completed as per the plan. Evidence of monitoring in one of the three records was only monitored sometimes i.e. once or twice per day as opposed to the planned hourly monitoring requirement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in the dementia unit can be locked. The locks are disabled however the keys are kept in the nurse’s station and therefore there is an ability potentially to lock bedroom doors. The unoccupied rooms in the dementia unit were locked by staff on the day of audit. Staff state that they never lock any occupied bedroom door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 of three resident records did not evidence monitoring of use of restraint as per the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is an ability to lock bedrooms of residents in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monitor residents using restraints as stated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can freely access their own rooms at any time.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Craigweil House</w:t>
    </w:r>
    <w:bookmarkEnd w:id="58"/>
    <w:r>
      <w:rPr>
        <w:rFonts w:cs="Arial"/>
        <w:sz w:val="16"/>
        <w:szCs w:val="20"/>
      </w:rPr>
      <w:tab/>
      <w:t xml:space="preserve">Date of Audit: </w:t>
    </w:r>
    <w:bookmarkStart w:id="59" w:name="AuditStartDate1"/>
    <w:r>
      <w:rPr>
        <w:rFonts w:cs="Arial"/>
        <w:sz w:val="16"/>
        <w:szCs w:val="20"/>
      </w:rPr>
      <w:t>20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