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Orongo Lifecare Limited - Orongo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Orongo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Orongo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July 2018</w:t>
      </w:r>
      <w:bookmarkEnd w:id="7"/>
      <w:r w:rsidRPr="009418D4">
        <w:rPr>
          <w:rFonts w:cs="Arial"/>
        </w:rPr>
        <w:tab/>
        <w:t xml:space="preserve">End date: </w:t>
      </w:r>
      <w:bookmarkStart w:id="8" w:name="AuditEndDate"/>
      <w:r w:rsidR="00A4268A">
        <w:rPr>
          <w:rFonts w:cs="Arial"/>
        </w:rPr>
        <w:t>4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Orongo Rest Home provides rest home and secure dementia level care for up to 46 residents. The organisation is governed by a sole owner/director. Day to day management is the responsibility of the manager, who is supported by the clinical manager.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(DHB). The audit process included review of policies and procedures, sampling of residents` and staff records, observations and interviews with residents, families, clinical and non-clinical staff and a general practitioner.</w:t>
      </w:r>
    </w:p>
    <w:p w:rsidRPr="00A4268A">
      <w:pPr>
        <w:spacing w:before="240" w:line="276" w:lineRule="auto"/>
        <w:rPr>
          <w:rFonts w:eastAsia="Calibri"/>
        </w:rPr>
      </w:pPr>
      <w:r w:rsidRPr="00A4268A">
        <w:rPr>
          <w:rFonts w:eastAsia="Calibri"/>
        </w:rPr>
        <w:t>There is evidence that the organisation provides safe and effective services. There were no areas for improvement identified during the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 rights are maintained in line with consumer rights legislation. All residents are informed of their rights, including access to advocacy services. There is an informed consent process. Values and beliefs are respected. There are processes for the identification, reporting and management of any suspected discrimination or abuse/neglect. Services are provided in line with good practice principals. The complaints process is managed in line with complaints legislation.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Organisation performance is monitored. The mission, vision and values are current. The management team are suitably qualified. There is a documented quality and risk management system. Quality related data is analysed and improvements made where required, Adverse events are well managed. The required policies and procedures are documented. </w:t>
      </w:r>
    </w:p>
    <w:p w:rsidRPr="00A4268A">
      <w:pPr>
        <w:spacing w:before="240" w:line="276" w:lineRule="auto"/>
        <w:rPr>
          <w:rFonts w:eastAsia="Calibri"/>
        </w:rPr>
      </w:pPr>
      <w:r w:rsidRPr="00A4268A">
        <w:rPr>
          <w:rFonts w:eastAsia="Calibri"/>
        </w:rPr>
        <w:t>Human resource processes are in place and support safe service delivery. Staff have the required orientation and education. There are a sufficient number of suitably qualified staff on duty at all times.</w:t>
      </w:r>
    </w:p>
    <w:p w:rsidRPr="00A4268A">
      <w:pPr>
        <w:spacing w:before="240" w:line="276" w:lineRule="auto"/>
        <w:rPr>
          <w:rFonts w:eastAsia="Calibri"/>
        </w:rPr>
      </w:pPr>
      <w:r w:rsidRPr="00A4268A">
        <w:rPr>
          <w:rFonts w:eastAsia="Calibri"/>
        </w:rPr>
        <w:t xml:space="preserve">Client records are securely maintained and provide the relevant detail. Client files are integrated. Archived records are safely stored for easy retrieval.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receive timely, competent and appropriate services that meet their assessed needs and desired outcomes/goals. Care plans and assessments are developed and reviewed as required. Planned activities are appropriate to the needs, age and culture of the residents. </w:t>
      </w:r>
    </w:p>
    <w:p w:rsidRPr="00A4268A" w:rsidP="00621629">
      <w:pPr>
        <w:spacing w:before="240" w:line="276" w:lineRule="auto"/>
        <w:rPr>
          <w:rFonts w:eastAsia="Calibri"/>
        </w:rPr>
      </w:pPr>
      <w:r w:rsidRPr="00A4268A">
        <w:rPr>
          <w:rFonts w:eastAsia="Calibri"/>
        </w:rPr>
        <w:t>The meal service meets the individual food, fluids and nutritional needs of the residents. Residents with special dietary needs are catered for.</w:t>
      </w:r>
    </w:p>
    <w:p w:rsidRPr="00A4268A" w:rsidP="00621629">
      <w:pPr>
        <w:spacing w:before="240" w:line="276" w:lineRule="auto"/>
        <w:rPr>
          <w:rFonts w:eastAsia="Calibri"/>
        </w:rPr>
      </w:pPr>
      <w:r w:rsidRPr="00A4268A">
        <w:rPr>
          <w:rFonts w:eastAsia="Calibri"/>
        </w:rPr>
        <w:t>A medication management system is in place and all staff members responsible for medicines administration have annual competencies completed. All medications charts are reviewed by the GP every three months or as required.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environment and building are fit for purpose. Maintenance requirements are met. All equipment and furnishings are in good order. The facility is large and has ample areas to meet the residents’ needs. There is a large outdoor area, with a secure area for residents in the dementia wing. All residents have a single room. There are a sufficient number of toilets and bathing facilities. All cleaning and laundry processes are monitored. Emergency procedures and equipment are provided. All residents and family/whanau reported they felt safe and secure.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dementia wing and grounds provide a secure environment. Residents in the dementia wing are unable to leave the area without being accompanied by a staff (or family) member.  All rest home residents are free to come and go as they wish.</w:t>
      </w:r>
    </w:p>
    <w:p w:rsidRPr="00A4268A">
      <w:pPr>
        <w:spacing w:before="240" w:line="276" w:lineRule="auto"/>
        <w:rPr>
          <w:rFonts w:eastAsia="Calibri"/>
        </w:rPr>
      </w:pPr>
      <w:r w:rsidRPr="00A4268A">
        <w:rPr>
          <w:rFonts w:eastAsia="Calibri"/>
        </w:rPr>
        <w:t>There are documented policies and procedures on restraint and enablers. There were no residents using a restraint or enabler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management system minimises the risk of infection to residents, visitors and other service providers. The infection control coordinator is responsible for co-ordinating education and training of staff. Infection data is collated monthly, analysed and reported during staff meetings. The infection control surveillance and associated activities are appropriate for the size and complexity of the service.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77"/>
        <w:gridCol w:w="1280"/>
        <w:gridCol w:w="93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receive education on consumer rights legislation. This occurs during orientation and in ongoing education which is provided by a Health and Disability advocate. In interview, staff were able to describe how they incorporated resident rights into day to 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sampled had consent forms signed by the resident, or when appropriate, signed by the enduring power of attorney (EPOA). The files contained copies of any advance care planning and the resident’s wishes for end of life care. Staff acknowledged the resident's right to make choices based on information presented to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reported that they are provided with information regarding access to advocacy services. Families are encouraged to involve themselves as advocates. Contact details for the Nationwide Health and Disability Advocacy Service are listed in the resident information booklet and pamphlets are available at reception. Education on advocacy and support is conducted as part of the in-service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relatives are encouraged to visit at any time. Family/whanau reported that there were no restrictions to visiting hours. Residents are supported and encouraged to access community services with visitors or as part of the planned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process meets the requirements of consumer legislation. A copy of the complaints process is given to residents during entry. Copies of complaint forms are accessible throughout the facility. Residents and family/whanau interviewed confirmed they would feel comfortable reporting concerns, and confident that their concerns would be followed up. Resident and family/whanau satisfaction surveys sampled confirmed that residents feel their concerns are managed well. All staff receive training on the complaints management process. There were no outstanding internal or external complaints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A complaints/concerns register is maintained. This includes verbal and written complaints/concerns. All complaints and concerns are discussed at governance and quality meetings. Records sampled confirmed that all complaints/concerns have been addressed in a timely manner, to the satisfaction of the complainant.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consumer rights legislation, advocacy services and the complaints process are provided on admission and displayed at the reception. The Code of Rights is available in Maori and English. Residents and families interviewed were aware of their rights and confirmed that information was provided to them during the admission process. The rest home ‘s information pack outlines services provided. Signed residents’ agreements were sighted in records sampled. Service agreements meet the requirements of this standard and district health board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privacy is maintained.  All residents have their own room, and support for personal cares is conducted in a respectful manner. This was confirmed in interviews with residents and family/whanau. Individual values and beliefs are documented in care plans. Residents are supported to maintain their independence with rest home residents able to come and go as they please. There are documented processes regarding abuse and neglect and all staff receive training. There were no reports of alleged abuse or neglect in the records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cultural awareness policy includes guidance for staff on the provision of culturally appropriate care to Maori residents. Family/next of kin input and involvement in service delivery/decision making is sought if applicable. The staff interviewed reported that they understand and have attended cultural training and demonstrated the importance of whanau to Maori residents. The Maori Health plan includes a commitment to the principles of the Treaty of Waitangi and barriers to access. The Maori Health plan also addresses links with a local marae and recognises the importance of whanau. A local kaumatua has agreed to provide the facility with advice and assistance when required, including blessings of rooms. Cultural safety training for staff includes cultural competence, language barriers, body language and valuing our diverse culture. The rest home celebrates Waitangi Day and matarirki.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sampled identified the cultural and/or spiritual needs of the resident in consultation with the resident and family as part of the admission process. Specific health issues and food preferences are identified on admission. The care plan is developed to provide guidance on delivery of individualised support in a culturally and/or spiritually sensitive manner. Staff interviewed reported on the need to respect individuals culture and values. The residents reported that cultural and religious beliefs are respected and reported there is access to church services if they wished to go.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employment position description and the Code of Rights define residents’ rights relating to discrimination. Staff interviewed verbalised they would report any inappropriate behaviour to the clinical manager.  The clinical manager reported that formal action would be taken as part of the disciplinary procedure if there was an employee breach of conduct. Residents interviewed confirmed that they felt safe and respected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yearly education programme includes sessions that cover good practice topics. There is specialist advice available if required. There is regular in-service education and staff access external education that is focused on aged care, dementia care and best practice. Staff reported that they were satisfied with the relevance of the education provided. Policies and procedures are linked to evidence-based practice, there are regular visits by the GP and links with the local DHB. Interventions sighted in care plans reflect evidence-based nursing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of open disclosure following incidents/accidents was evident on incident forms sampled. Family/whanau reported they are informed of any accident or incident and this is documented in the family contact notes. </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has been provided in relation to appropriate communication methods. The service has not required any access to interpreting services for the residents. Policies and procedures are in place if interpreter services are needed to be accessed.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governed by the sole owner/director who has been in the industry for 30 years. The director owns two aged care facilities which share the same management and quality system. The vision and mission are reviewed annually by the manager and director. The service mission is documented in the information pamphlets and is displayed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annual business plan defines the scope, direction and objectives of the organisation as well as the monitoring and reporting against objectives. The business plan is developed by the director and is reviewed annually. The business plan includes changes in consumer trends, a summary of industry changes, delegations, financial management, quality outcomes, keys to success, review of contracted providers and competitors, marketing and future development.</w:t>
            </w:r>
          </w:p>
          <w:p w:rsidR="00EB7645" w:rsidRPr="00BE00C7" w:rsidP="00BE00C7">
            <w:pPr>
              <w:pStyle w:val="OutcomeDescription"/>
              <w:spacing w:before="120" w:after="120"/>
              <w:rPr>
                <w:rFonts w:cs="Arial"/>
                <w:b w:val="0"/>
                <w:lang w:eastAsia="en-NZ"/>
              </w:rPr>
            </w:pPr>
            <w:r w:rsidRPr="00BE00C7">
              <w:rPr>
                <w:rFonts w:cs="Arial"/>
                <w:b w:val="0"/>
                <w:lang w:eastAsia="en-NZ"/>
              </w:rPr>
              <w:t>Organisational performance is monitored. There is a monthly governance meeting between the director and the manager which includes reports on all aspects of the service and achievement towards objectives. Governance meeting minutes were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delegated responsibilities to keep the director informed of any issues or concerns that may impact the business. The manager is an enrolled nurse with a current annual practising certificate and relevant management experience. The manager has managed the service for over 13 years and maintains the required hours needed for professional development. The manager is supported by a clinical manager, who is a registered nurse, with a background in aged care and was newly appointed to the role in April 2018. The current organisational chart is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rest home and dementia level of care for up to 46 residents. There is a 15-bed secure dementia unit (Kowhai Wing) and two rest home wings (31 beds). At the time of audit there were 12 residents living in the dementia unit and 26 in the rest home sections. The organisation also has a respite contract with the district health board (DHB). The majority of residents are government funded, with a small number of residents (eight) paying privately.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director owns another aged care service in Auckland and the two managers are in frequent contact and provide support for each other. This includes the provision of support and oversight during a temporary absence. The clinical manager fulfils clinical requirements and has access to the clinical manager of the other facility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quality and risk management framework which includes a quality plan. The 2018 plan details the quality system, quality structure and sets quality goals for 2018 and includes the directors vision. The manager develops the quality plan and goals, maintains document management and is responsible for monitoring and reporting progress against quality goals in the monthly report to the director. All staff receive an orientation to the quality and risk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There is a quality committee that meets monthly. The team includes representation from across the organisation. Meeting minutes were sampled and included discussions and analysis on quality related data, red flags (risk), outputs and inputs, new business and policy/system reviews. Quality data also includes information gained through resident satisfaction surveys. Surveys were sampled and confirmed general satisfaction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were originally developed by an aged care consultant and have been reviewed and amended in an ongoing manner. A full review of relevant policies and procedures was conducted by the auditor prior to the onsite audit, and suggested improvements were subsequently made. There is a system for ensuring that staff are alerted to any changes in the system, and for removing obsolete documents from circulation.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process for checking ongoing compliance to the quality management system and contract requirements. This includes a range of checklists and internal audits which cover the scope of the system. There is evidence that improvements are made if a short fall is identified. The results of internal audits, and required corrective actions, are discussed at quality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business continuity and risk management plan includes the identification of actual and potential risks. Each risk is rated against the impact on the service and the likelihood of occurrence. Preventative actions are documented. There is evidence that organisational risks are considered and discussed at governance meetings. A health and safety programme is documented and implemented.</w:t>
              <w:tab/>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process for reporting and investigating adverse events. Staff interviewed were aware of the adverse event reporting system. The manager was aware of any essential notification requirements. Adverse events are documented on an incident/accident form and are reported to the clinical manager for initial investigation and immediate actions. These are then followed up by the manager for collation, analysis and development of any required corrective actions or follow up. Records of adverse events sampled confirmed that the required immediate actions and notifications have been made.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data related to adverse events is collated and reviewed monthly. This includes a trend analysis. Analysis includes the identification of type (for example fall, skin tear or bruise) as well as the time and place of each event. Where trends and shortfalls are identified, corrective actions are implemented to make improvements to service delivery and individual resident preventive strategies (such as falls minimisation). Collated adverse events sampled provide confirmation that the service has been successful in managing behaviours of concern.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human resources management. These are consistent with good practice and employment legislation and guidelines. The recruitment process ensures that professional qualifications are validated. The skills and knowledge required for each position are documented in position descriptions which were evident in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All staff receive an orientation. The orientation programme covers the essential components of service delivery. New staff work closely with another staff member until they are considered competent to perform their role independently. Mandatory competencies, for example clinical and medication competencies are defined and monitored. Staff performance is monitored. Staff appraisals are conducted at the end of orientation and then annually. Evidence of completed orientation, competencies and performance appraisals were sighted in staff files sampled.</w:t>
            </w:r>
          </w:p>
          <w:p w:rsidR="00EB7645" w:rsidRPr="00BE00C7" w:rsidP="00BE00C7">
            <w:pPr>
              <w:pStyle w:val="OutcomeDescription"/>
              <w:spacing w:before="120" w:after="120"/>
              <w:rPr>
                <w:rFonts w:cs="Arial"/>
                <w:b w:val="0"/>
                <w:lang w:eastAsia="en-NZ"/>
              </w:rPr>
            </w:pPr>
            <w:r w:rsidRPr="00BE00C7">
              <w:rPr>
                <w:rFonts w:cs="Arial"/>
                <w:b w:val="0"/>
                <w:lang w:eastAsia="en-NZ"/>
              </w:rPr>
              <w:t>Ongoing education is provided. The education plan covers relevant topics and meets the requirements of the DHB agreement. Education is provided in house, on line and by staff visiting external providers. Individual records of education are maintained and confirmed attendance at the required training. For example, care staff who work in the dementia unit have the required training and the clinical manager is trained in the interRAI assessment programme. Staff interviewed reported that they had good access to education and were well supported during their orientation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allocation of staff to complete the duty rosters. Rosters sampled confirmed that staffing levels comply with contractual requirements, with staff on leave replaced. There are at least three caregivers on duty in the rest home for morning and afternoon shifts (staggered finish times, with more staff on duty at the busiest times of the shift). There are two staff on duty in the dementia unit mornings and evenings, and at night there is one staff member in the dementia unit and two other care staff in the rest home.</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on duty morning shift six days a week and on call at other times. The manager is site Monday to Friday. There are sufficient numbers of support staff (kitchen, cleaning, laundry) to meet the needs of the residents. There is an activities coordinator on site five days per week. The care staff assist with the activities on weekends.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a hard copy file. All resident records are integrated with allied health providers documenting their entries in a separate location in the integrated folder. Clinical records are documented daily, with additional entries as required and from the registered nurses. All records sampled were signed and designated. All records are securely stored. The only publicly accessible resident information is a list of residents’ names at the entrance to each wing.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welcome pack contains all information about entry to the service and entries are recorded on the initial contact information form. Assessments and entry screening processes are documented and clearly communicated to the family/whanau of choice where appropriate, local communities and referral agencies. Records sampled confirmed that admission requirements were conducted within the required time frames and were signed on entry. The admission agreement clearly outlines services provided as part of the agreement to entry. Interviewed relatives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Standard transfer notification forms from the DHB and activities of living summaries are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complies with legislation, protocols, and guidelines. Residents receive medicines in a safe and timely manner. All medications are reviewed as required and discontinued medications are signed and dated by the GP. Allergies are clearly documented; photo identification was current and three-monthly reviews are conducted. Medication charts are legibly written. </w:t>
            </w:r>
          </w:p>
          <w:p w:rsidR="00EB7645" w:rsidRPr="00BE00C7" w:rsidP="00BE00C7">
            <w:pPr>
              <w:pStyle w:val="OutcomeDescription"/>
              <w:spacing w:before="120" w:after="120"/>
              <w:rPr>
                <w:rFonts w:cs="Arial"/>
                <w:b w:val="0"/>
                <w:lang w:eastAsia="en-NZ"/>
              </w:rPr>
            </w:pPr>
            <w:r w:rsidRPr="00BE00C7">
              <w:rPr>
                <w:rFonts w:cs="Arial"/>
                <w:b w:val="0"/>
                <w:lang w:eastAsia="en-NZ"/>
              </w:rPr>
              <w:t>The medications and associated documentation are stored safely and medication reconciliation is conducted by the clinical manager when a resident is transferred back to the service. The service uses pre-packaged packs. There were no expired or unwanted medications. Expired medications are returned to the pharmacy in a timely manner. There were no controlled drugs onsite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 and medication training records were sighted. The clinical manager and caregiver were observed administering medications safely and correctly in the two service areas. All medications are prescribed correctly, dated as per policy guidelines and legislative requirements. There were no residents self-administering medications and self-administration policies and procedures are in place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the respective dining area. The menu has been reviewed by a dietitian. The kitchen has been registered under the new Food Control Plan and a notice of registration certificate was sighted. The kitchen staff have current food handling certificates. Diets are modified as required and the cook confirmed awareness of dietary needs of the residents. A nutritional profile for residents is developed on admission which identifies dietary requirements, likes and dislikes. The residents’ weight is monitored regularly and supplements are provided to residents with identified weight loss issues. Snacks and drinks are available for residents over the 24-hour period.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well stocked. Labels and dates are on all containers and records of temperature monitoring on food, fridges and freezers are maintained. Regular cleaning is undertaken and all services comply with current legislation and guidelines. The residents and family/whanau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and clinical manager reported that all consumers who are declined entry are recorded on the initial contact information form and when a consumer is declined, relatives are informed of the reason for this and made aware of other options or alternative services available. The consumer is referred back to the referral agency to ensure that the resident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are completed within the required time frame on admission while care plans and interRAI are completed within three weeks according to policy. Assessments and care plans are detailed and include input from the family/whanau and other health team members as appropriate. The clinical manager utilises standardised risk assessment tools on admission. In interviews, residents and relatives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The assessed information is used to generate life style care plans and support care plans for acute needs. Goals are specific and measurable and interventions are detailed to address the desired goals/outcomes identified during the assessment process. Care plans sampled were integrated and included input from the multidisciplinary team. The residents and relatives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support care plans and lifestyle care plans are sufficient to address the assessed needs and desired goals/outcomes. Significant changes are reported in a timely manner and prescribed orders carried out satisfactorily. Progress notes are completed on every shift. Monthly observations are completed and are up to date. Adequate clinical supplies were observed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appropriate to the needs, age and culture of the residents. The activities coordinator develops an activity planner and daily/weekly activities are posted on the notice boards. Resident’s files have a documented activity plan that reflects the residents’ preferred activities of choice. Over the course of the audit, residents were observed being actively involved in a variety of activities and residents interviewed expressed satisfaction with the activities in place. Individualised activity plans are reviewed every six months or when there is any significant change in participation and this is conducted in consultation with the clinical manager. Twenty-four-hour activity care plans are developed for each resident. The activities vary from scrabble, bingo, music, van trips, exercises/walking and church services. The activities coordinator reported that they have group activities and engage in one on one activities with some residents. Activities are modified to varying abilities and cognitive impairment. The residents’ activities participation log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lifestyle care plans and activity plans are evaluated in a comprehensive and timely manner. Reviews are fully documented and include current resident’s status, any changes and achievements towards goals. Family/whanau and staff input is sought in all aspects of care and are reviewed/evaluated. Support care plans are developed as per rising need. All care plans sampled are updated and reviewed every six months or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The GP confirmed that processes are in place to ensure that all referrals are followed up accordingly. Residents and family are informed of the referrals made by the service. All referrals are facilitated by the nursing staff or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the management of waste and hazardous substances are documented. All hazardous substances are stored safely. This includes chemicals and oxygen cylinders. Domestic waste is removed as per council requirements. Personal protective equipment is available. Staff receive education on the management of waste and hazardous substances and waste management audits are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was purpose built and remains fit for purpose. There are three wings, two rest home wings (Totara and Rimu) and the secure dementia unit (Kowhai). Internal and external areas are of sufficient size, with wide corridors, hand rails throughout and safe ramps into the garden. Furniture and fittings have been well maintained. Medical equipment is calibrated and electrical testing and tagging has been completed. There is a maintenance schedule and a system for identifying any maintenance requirements as they occur. There is a hazard identification process and a risk, hazard and emergency response plan. Environmental audits are conducted. The current building warrant of fitness is displayed. There is a van for outings. The van is driven by the activities coordinator. There is a documented process regarding transportation for residents. There is a first aid kit in the van.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conveniently located communal toilets and showers on each wing. Toilets and showers are well maintained. There are privacy locks on all toilets and showers. Visitors and staff facilities are available. Each resident room has a hand basin and hand washing gel is located throughout the building. Hot water temperatures are monitored.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bedrooms are single occupancy. Rooms are decorated with personal possessions and are of sufficient size to enable use of equipment if required. All rooms have external windows and are exposed to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wing has its own communal area consisting of a lounge, dining area and kitchenette.  Communal areas are open plan and of a sufficient size to accommodate activities. There are large outdoor areas furnished with tables and chairs. All residents have access to the garden, with a secure area for residents from the Kowhai wing.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designated cleaning and laundry staff. Cleaning and laundry duties are documented. The cleaning trolley is safely stored when not in use and remains within sight of the cleaner when in use. Chemicals are labelled and material data safety sheets were sighted. All laundry is washed on site. The laundry is separated into clean and dirty areas. Industrial washers and dryers are in good working order. Cleaning and laundry staff have received education regarding the use of chemicals which is conducted by the chemical provider. Cleaning and laundry services are monitored through resident satisfaction surveys and internal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plan. The building is divided into fire cells for staged evacuations. Trial evacuations are conducted every six months. There are fire extinguishers throughout the building and emergency evacuation procedures are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an emergency and disaster response plan which covers a range of emergencies. There is sufficient equipment and supplies in the evident of an emergency or if the mains supply fails. The generator provides back up electricity and there is emergency lighting and power. There is a first aid kit in each wing and all senior staff have completed first aid training. There is a pandemic box. All resident areas have call bells, including toilets and showers. The level of support each resident would need in the event of an emergency is documented in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External doors and windows are checked each evening and monthly security checklists are completed to ensure the facility remains safe and secure at all times. Residents interviewed confirmed that they felt safe and secure.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natural light and ventilation. Heating is provided through wall radiators. There are no residents who smoke and a designated external area for staff to smoke is well away from resident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provides an environment that minimises the risk of infection to residents, staff and visitors by implementing an appropriate infection prevention and control programme. The clinical manager is the infection control coordinator (ICC) and has access to external specialist advice from the GP and DHB infection control specialists when required. A documented role description for the ICC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a review of the education programme is conducted. Staff are made aware of new infections through daily handovers on each shift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residents with infectious conditions when required. Hand sanitisers and gels are available for staff and visitors to use. Staff interviewed demonstrated an understanding of the infection prevention and control programme. There were no infection outbreaks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health and safety meetings and two monthly staff meetings.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in place that reflect current best practice. Staff were observed to be compliant with the infection control policies and procedures. Staff demonstrated knowledge on the requirements of standard precautions and were aware of the location of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and other specialist consultants. A record of attendance is maintained and was sighted. The training education information pack is detailed and meets best practice and guidelines. External contact resources included: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responsible for the surveillance programme. Clear definitions of surveillance and types of infections (e.g. facility-acquired infections) are documented to guide staff. Information is collated monthly.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register includes monthly infection logs and antibiotic use. Infections are investigated, and appropriate plans of action were sighted in meeting minutes. The data is collated and analysed to identify any significant trends or common possible causative factors and action plans are instigated. Staff interviewed reported that they are informed of infection rates at staff meetings and through compiled reports. The GP is informed within the required time frame when a resident has an infection and appropriate antibiotics are prescribed to treat the infection accordingly.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restraint is in place for the Kowhai wing. There is secure key pad entry and exit. Only residents who have been assessed as having dementia are residing in the Kowhai wing. There were no other restraints or enablers being used at the time of the audit. There are policies and procedures should a restraint or enabler be required. These are in line with the requirements of this standard. All staff receive training on the use of restraints, enablers and behaviours of concern.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Orongo Lifecare Limited - Orongo Rest Home</w:t>
    </w:r>
    <w:bookmarkEnd w:id="58"/>
    <w:r>
      <w:rPr>
        <w:rFonts w:cs="Arial"/>
        <w:sz w:val="16"/>
        <w:szCs w:val="20"/>
      </w:rPr>
      <w:tab/>
      <w:t xml:space="preserve">Date of Audit: </w:t>
    </w:r>
    <w:bookmarkStart w:id="59" w:name="AuditStartDate1"/>
    <w:r>
      <w:rPr>
        <w:rFonts w:cs="Arial"/>
        <w:sz w:val="16"/>
        <w:szCs w:val="20"/>
      </w:rPr>
      <w:t>3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