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Margaret's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Margaret's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June 2018</w:t>
      </w:r>
      <w:bookmarkEnd w:id="7"/>
      <w:r w:rsidRPr="009418D4">
        <w:rPr>
          <w:rFonts w:cs="Arial"/>
        </w:rPr>
        <w:tab/>
        <w:t xml:space="preserve">End date: </w:t>
      </w:r>
      <w:bookmarkStart w:id="8" w:name="AuditEndDate"/>
      <w:r w:rsidR="00A4268A">
        <w:rPr>
          <w:rFonts w:cs="Arial"/>
        </w:rPr>
        <w:t>6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Margaret’s Hospital is owned and operated by the CHT Healthcare Trust.  The service is certified to provide rest home, dementia, hospital (geriatric and medical) and residential disability (physical) level care.  The service provides cares for up to 88 residents with current occupancy of 85 residents.  </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managed by a unit manager who is well qualified and experienced for the role and is supported by a clinical coordinator and the area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Two of the three shortfalls identified at the previous audit has been addressed.  This was around restraint evaluations and implementation of care.  Improvement continue to be required around care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reported that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unit manager is responsible for the day-to-day operations of the facility.  She is supported by a clinical coordinator (registered nurse).  Quality and risk management processes are implemented.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on the electronic assessment and care planning system who also have responsibility for maintaining and reviewing care plans.  Care plans reviewed documented family/whānau involvement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The restraint coordinator is a registered nurse who is responsible for ensuring restraint management processes are followed.  On the day of audit there were six residents with restraint and no residents using an enabler.  Restraint has been consistently reviewed six monthly for each individual resident.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A record of all complaints received is maintained by the unit manager in hard copy and in an electronic database.  There have been 48 complaints since January 2017 (28 related to care).  Nine complaints were randomly sampled and documentation, including follow-up letters and resolution (sighted) demonstrated that complaints are being well-managed.  One complaint related to a recent power outage and was via the DHB.  This has been closed with no actions required.  One complaint through the Health and Disability Commissioner in November 2017, had all correspondence provided in requested timeframes and corrective actions around communication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It was noted that the complaints register covered everything even minor issues/concerns.   They were also generated from monthly resident satisfaction surveys.  Complaints were discussed at meetings and handovers.  In response to complaints, the service was proactive and there was evidence of RN’s attending wound management course, RN reflection meeting, a full review of all resident care plans, and following the power outage complaint debriefs at resident and staff meetings.  The 2018, unit manager performance plan had an aim of improving customer satisfaction including specific goals around communication, food services, the activities programme and continued discussion of all complaints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(three rest home, two hospital and one YPD) and families/whānau confirmed they were provided with information on the complaints process and remarked that any concerns or issues they had were addressed promptly.  The information pack for the dementia unit includes information around behaviour management, how to make a complaint and excerpts from the complaints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(five HCAs, four RNs, two diversional therapists and the cook)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families interviewed (four hospital, one rest home and one dementia) confirmed they are kept informed of the resident’s status, including any events adversely affecting the resident.  Fourteen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Residents, including younger residents are supported to use communication aids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DHB.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Margaret’s Hospital is owned and operated by the CHT.  The service provides rest home, dementia, hospital (medical and geriatric) and residential disability (physical) level care for up to 88 residents.  Sixty-eight beds are dual-purpose, for rest home and hospital level care, and 20 beds are dedicated dementia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Eighty-five residents were living at the facility during this audit.  This consisted of five rest home residents including one resident on respite care and one younger person with disability (YPD), sixty-one hospital level residents including four YPD and nineteen residents in the secure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is a registered nurse (RN) who has been in this role for four years.  She has 23 years of management experience in both the disability and private sectors.  She is supported by a clinical coordinator/RN that has been in her role for twenty months and has been working at the facility for the past four years.  The unit manager reports to the CHT area manager who reports to the CEO.</w:t>
            </w:r>
          </w:p>
          <w:p w:rsidR="00EB7645" w:rsidRPr="00BE00C7" w:rsidP="00BE00C7">
            <w:pPr>
              <w:pStyle w:val="OutcomeDescription"/>
              <w:spacing w:before="120" w:after="120"/>
              <w:rPr>
                <w:rFonts w:cs="Arial"/>
                <w:b w:val="0"/>
                <w:lang w:eastAsia="en-NZ"/>
              </w:rPr>
            </w:pPr>
            <w:r w:rsidRPr="00BE00C7">
              <w:rPr>
                <w:rFonts w:cs="Arial"/>
                <w:b w:val="0"/>
                <w:lang w:eastAsia="en-NZ"/>
              </w:rPr>
              <w:t>CHT has an overall business/strategic plan, philosophy of care and mission statement.  The annual facility-specific business plan links to the organisation’s strategic plan and is reviewed monthly with the CEO.  The stated objective of the dementia unit is to provide for the safe and therapeutic care of residents affected by dementia in an environment that enhances those residents’ quality of life and minimises the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a minimum of eight hours of professional development relating to the management of an aged care service over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Policies and procedures are sufficient to guide staff to address the needs of younger residents.  A document control system is in place.  Policies are regularly reviewed.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complaints, infections) are collated and analysed with results communicated to staff in the quality/health and safety (staff) meetings and the RN meetings, evidenced in the meeting minutes.  Results are also posted in the staff room for staff to view.</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six-monthly by the area manager.  Areas of non-compliance include the initiation of a corrective action plan with sign-off by the area manager when implemented.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surveys are completed monthly and sent to residents with a birthday that month.  The response has been overall positive so far.  Results are correlated and analysed.  The manager improvement plan is linked to resident feedback.</w:t>
            </w:r>
          </w:p>
          <w:p w:rsidR="00EB7645" w:rsidRPr="00BE00C7" w:rsidP="00BE00C7">
            <w:pPr>
              <w:pStyle w:val="OutcomeDescription"/>
              <w:spacing w:before="120" w:after="120"/>
              <w:rPr>
                <w:rFonts w:cs="Arial"/>
                <w:b w:val="0"/>
                <w:lang w:eastAsia="en-NZ"/>
              </w:rPr>
            </w:pPr>
            <w:r w:rsidRPr="00BE00C7">
              <w:rPr>
                <w:rFonts w:cs="Arial"/>
                <w:b w:val="0"/>
                <w:lang w:eastAsia="en-NZ"/>
              </w:rPr>
              <w:t>An interview with a health and safety representative and review of health and safety documentation confirmed that legislative requirements are being met.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emergency plan that was last updated in March 2018.  The service managed a power outage following a storm in the region from 10 April 9.00 pm to 12th April midday.  A section 31 notification was sent to HealthCERT and there were 84 residents at the time.  Two generators were installed, and water was boiled on the BBQ.  Disposable plates and cutlery were used, and staff meals were supplied by CHT from a local takeaway.  Hoist batteries were recharged at another facility.  Wet wipes were used for soiling and additional blankets and clothing were used to keep warm.  An emergency telephone was operational throughout and for lighting staff used torches and headlights.  Call bells were not operational, so as many residents as possible were cared for in the central lounge with staff presence and otherwise 10 to 15-minute checks were implemented.  Medimap was used offline.</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The facility has purchased beds that can be lowered to low levels, and sensor mats.  Hip protectors are used to prevent injuries from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Adverse events are linked to the quality and risk management programme.  There was evidence to support actions are undertaken to minimise the number of incidents.  Clinical follow-up of residents, conducted by a registered nurse, was evidenced in all fourteen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unit manager and clinical coordinator confirmed their awareness of the requirement to notify relevant authorities in relation to essential notifications.  A section 31 notification was made relating to the power outage and four have been made relating to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evidenced in all six staff files reviewed (three health care assistants, one registered nurse, one clinical coordinator, one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 general orientation programme that provides new staff with relevant information for safe work practice.  Evidence of completed induction checklists were sighted in all six staff files.  There are dementia specific induction sections for those working in the dementia unit.  Annual staff appraisals sighted were up-to-date.  </w:t>
            </w:r>
          </w:p>
          <w:p w:rsidR="00EB7645" w:rsidRPr="00BE00C7" w:rsidP="00BE00C7">
            <w:pPr>
              <w:pStyle w:val="OutcomeDescription"/>
              <w:spacing w:before="120" w:after="120"/>
              <w:rPr>
                <w:rFonts w:cs="Arial"/>
                <w:b w:val="0"/>
                <w:lang w:eastAsia="en-NZ"/>
              </w:rPr>
            </w:pPr>
            <w:r w:rsidRPr="00BE00C7">
              <w:rPr>
                <w:rFonts w:cs="Arial"/>
                <w:b w:val="0"/>
                <w:lang w:eastAsia="en-NZ"/>
              </w:rPr>
              <w:t>There are 12 RN’s plus the clinical manager, eight plus the clinical manager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is being implemented.  Regular in-services are provided by a range of in-house and external speakers including (but not limited to) nurse specialists, Aged Concern and the Health and Disability Advocacy Service.  Eight of the eight HCAs that have worked in the dementia unit for longer than one year have completed their Aged Care Education (ACE) dementia qualification.  The other eight HCAs in the dementia unit are in the process of completing these.</w:t>
            </w:r>
          </w:p>
          <w:p w:rsidR="00EB7645" w:rsidRPr="00BE00C7" w:rsidP="00BE00C7">
            <w:pPr>
              <w:pStyle w:val="OutcomeDescription"/>
              <w:spacing w:before="120" w:after="120"/>
              <w:rPr>
                <w:rFonts w:cs="Arial"/>
                <w:b w:val="0"/>
                <w:lang w:eastAsia="en-NZ"/>
              </w:rPr>
            </w:pPr>
            <w:r w:rsidRPr="00BE00C7">
              <w:rPr>
                <w:rFonts w:cs="Arial"/>
                <w:b w:val="0"/>
                <w:lang w:eastAsia="en-NZ"/>
              </w:rPr>
              <w:t>Competencies are completed for syringe driver, medication, male catheterisation, and peg feeds.</w:t>
            </w:r>
          </w:p>
          <w:p w:rsidR="00EB7645" w:rsidRPr="00BE00C7" w:rsidP="00BE00C7">
            <w:pPr>
              <w:pStyle w:val="OutcomeDescription"/>
              <w:spacing w:before="120" w:after="120"/>
              <w:rPr>
                <w:rFonts w:cs="Arial"/>
                <w:b w:val="0"/>
                <w:lang w:eastAsia="en-NZ"/>
              </w:rPr>
            </w:pPr>
            <w:r w:rsidRPr="00BE00C7">
              <w:rPr>
                <w:rFonts w:cs="Arial"/>
                <w:b w:val="0"/>
                <w:lang w:eastAsia="en-NZ"/>
              </w:rPr>
              <w:t>In-service sessions consider caring for younger people.  Two activity in-services attended by a total of 26 staff, becoming trusted advisors, and managing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to manage the care requirements of the residents.  The clinical coordinator and unit manager (both registered nurses) each work a five-day working week and take month about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six suites, (each suite has either 9 or 10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Across the facility, there are three RN’s working morning shifts (three long shifts) and three RN’s on afternoon shift (2 long and 1 short) and one RN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staff on Monday to Friday and one activity staff in the sunflower dementia unit in the weekend</w:t>
            </w:r>
          </w:p>
          <w:p w:rsidR="00EB7645" w:rsidRPr="00BE00C7" w:rsidP="00BE00C7">
            <w:pPr>
              <w:pStyle w:val="OutcomeDescription"/>
              <w:spacing w:before="120" w:after="120"/>
              <w:rPr>
                <w:rFonts w:cs="Arial"/>
                <w:b w:val="0"/>
                <w:lang w:eastAsia="en-NZ"/>
              </w:rPr>
            </w:pPr>
            <w:r w:rsidRPr="00BE00C7">
              <w:rPr>
                <w:rFonts w:cs="Arial"/>
                <w:b w:val="0"/>
                <w:lang w:eastAsia="en-NZ"/>
              </w:rPr>
              <w:t>There are four HCA’s and one RN on night shift across the six-rest home and hospital suites.  There is one caregiver rostered in the Sunflower dementia unit at night.</w:t>
            </w:r>
          </w:p>
          <w:p w:rsidR="00EB7645" w:rsidRPr="00BE00C7" w:rsidP="00BE00C7">
            <w:pPr>
              <w:pStyle w:val="OutcomeDescription"/>
              <w:spacing w:before="120" w:after="120"/>
              <w:rPr>
                <w:rFonts w:cs="Arial"/>
                <w:b w:val="0"/>
                <w:lang w:eastAsia="en-NZ"/>
              </w:rPr>
            </w:pPr>
            <w:r w:rsidRPr="00BE00C7">
              <w:rPr>
                <w:rFonts w:cs="Arial"/>
                <w:b w:val="0"/>
                <w:lang w:eastAsia="en-NZ"/>
              </w:rPr>
              <w:t>Suite A – 10 beds (10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shift, one short)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and 1 HCA floater 4pm – 8pm between suite A B, C</w:t>
            </w:r>
          </w:p>
          <w:p w:rsidR="00EB7645" w:rsidRPr="00BE00C7" w:rsidP="00BE00C7">
            <w:pPr>
              <w:pStyle w:val="OutcomeDescription"/>
              <w:spacing w:before="120" w:after="120"/>
              <w:rPr>
                <w:rFonts w:cs="Arial"/>
                <w:b w:val="0"/>
                <w:lang w:eastAsia="en-NZ"/>
              </w:rPr>
            </w:pPr>
            <w:r w:rsidRPr="00BE00C7">
              <w:rPr>
                <w:rFonts w:cs="Arial"/>
                <w:b w:val="0"/>
                <w:lang w:eastAsia="en-NZ"/>
              </w:rPr>
              <w:t>Suite B- 10 beds (8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PM shift – 1 HCA (one long shift) </w:t>
            </w:r>
          </w:p>
          <w:p w:rsidR="00EB7645" w:rsidRPr="00BE00C7" w:rsidP="00BE00C7">
            <w:pPr>
              <w:pStyle w:val="OutcomeDescription"/>
              <w:spacing w:before="120" w:after="120"/>
              <w:rPr>
                <w:rFonts w:cs="Arial"/>
                <w:b w:val="0"/>
                <w:lang w:eastAsia="en-NZ"/>
              </w:rPr>
            </w:pPr>
            <w:r w:rsidRPr="00BE00C7">
              <w:rPr>
                <w:rFonts w:cs="Arial"/>
                <w:b w:val="0"/>
                <w:lang w:eastAsia="en-NZ"/>
              </w:rPr>
              <w:t>Suite C – 10 beds (10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shift, one short)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w:t>
            </w:r>
          </w:p>
          <w:p w:rsidR="00EB7645" w:rsidRPr="00BE00C7" w:rsidP="00BE00C7">
            <w:pPr>
              <w:pStyle w:val="OutcomeDescription"/>
              <w:spacing w:before="120" w:after="120"/>
              <w:rPr>
                <w:rFonts w:cs="Arial"/>
                <w:b w:val="0"/>
                <w:lang w:eastAsia="en-NZ"/>
              </w:rPr>
            </w:pPr>
            <w:r w:rsidRPr="00BE00C7">
              <w:rPr>
                <w:rFonts w:cs="Arial"/>
                <w:b w:val="0"/>
                <w:lang w:eastAsia="en-NZ"/>
              </w:rPr>
              <w:t>Suite D- 10 beds (10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- 3 HCA’s (two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  PM shift – 2 HCA (two long shift) and 1 HCA floater 4pm – 8pm between suite D, E</w:t>
            </w:r>
          </w:p>
          <w:p w:rsidR="00EB7645" w:rsidRPr="00BE00C7" w:rsidP="00BE00C7">
            <w:pPr>
              <w:pStyle w:val="OutcomeDescription"/>
              <w:spacing w:before="120" w:after="120"/>
              <w:rPr>
                <w:rFonts w:cs="Arial"/>
                <w:b w:val="0"/>
                <w:lang w:eastAsia="en-NZ"/>
              </w:rPr>
            </w:pPr>
            <w:r w:rsidRPr="00BE00C7">
              <w:rPr>
                <w:rFonts w:cs="Arial"/>
                <w:b w:val="0"/>
                <w:lang w:eastAsia="en-NZ"/>
              </w:rPr>
              <w:t>Suite E – 10 beds (10 hospital)</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shift, one short)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Suite F – 9 beds and suite G -9 beds (12 hospital and five rest home residents on the day)  </w:t>
            </w:r>
          </w:p>
          <w:p w:rsidR="00EB7645" w:rsidRPr="00BE00C7" w:rsidP="00BE00C7">
            <w:pPr>
              <w:pStyle w:val="OutcomeDescription"/>
              <w:spacing w:before="120" w:after="120"/>
              <w:rPr>
                <w:rFonts w:cs="Arial"/>
                <w:b w:val="0"/>
                <w:lang w:eastAsia="en-NZ"/>
              </w:rPr>
            </w:pPr>
            <w:r w:rsidRPr="00BE00C7">
              <w:rPr>
                <w:rFonts w:cs="Arial"/>
                <w:b w:val="0"/>
                <w:lang w:eastAsia="en-NZ"/>
              </w:rPr>
              <w:t>•  AM shift 3 HCA’s (two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1 HCA floater 4pm – 8pm between suite F &amp; G</w:t>
            </w:r>
          </w:p>
          <w:p w:rsidR="00EB7645" w:rsidRPr="00BE00C7" w:rsidP="00BE00C7">
            <w:pPr>
              <w:pStyle w:val="OutcomeDescription"/>
              <w:spacing w:before="120" w:after="120"/>
              <w:rPr>
                <w:rFonts w:cs="Arial"/>
                <w:b w:val="0"/>
                <w:lang w:eastAsia="en-NZ"/>
              </w:rPr>
            </w:pPr>
            <w:r w:rsidRPr="00BE00C7">
              <w:rPr>
                <w:rFonts w:cs="Arial"/>
                <w:b w:val="0"/>
                <w:lang w:eastAsia="en-NZ"/>
              </w:rPr>
              <w:t>Sunflower 20 beds (20 dementia)</w:t>
            </w:r>
          </w:p>
          <w:p w:rsidR="00EB7645" w:rsidRPr="00BE00C7" w:rsidP="00BE00C7">
            <w:pPr>
              <w:pStyle w:val="OutcomeDescription"/>
              <w:spacing w:before="120" w:after="120"/>
              <w:rPr>
                <w:rFonts w:cs="Arial"/>
                <w:b w:val="0"/>
                <w:lang w:eastAsia="en-NZ"/>
              </w:rPr>
            </w:pPr>
            <w:r w:rsidRPr="00BE00C7">
              <w:rPr>
                <w:rFonts w:cs="Arial"/>
                <w:b w:val="0"/>
                <w:lang w:eastAsia="en-NZ"/>
              </w:rPr>
              <w:t>•  AM shift -3 HCA’s (two long shifts, one short)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(two long shift).</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acuity was reported to be evenly spread throughout the facility.  Staffing can be flexible to cover changes in acuity.  Extra staff can be called on for increased resident requirements.  A stable staff means there are a sufficient number of experienced staff to cover each shift.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Rest home and hospital residents have their individual medications (unless they require refrigeration or are CDs) stored in a locked drawer in each resident’s room.  The drawer can only be accessed by staff designated to administer the medications.  Medications are stored in a locked cupboard in the dementia unit office.  Medication administration practice complies with the medication management policy for the medication rounds sighted.  Medication prescribed is signed as administered on the electronic medication documentation system.  Registered nurses administer medicines.  All staff that administer medication are competent and have received medication management training.  The RN on duty reconciles the delivery and documents this.  Medication charts are documented in the electronic medication system by the prescribing doctors.  For the 14 medication charts reviewed electronically, all documentation met legislative requirements and relevant guidelines.  No residents currently self-administer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equipped commercial kitchen, which is located centrally in the facility.  The majority of food is prepared and cooked on-site by the contracted kitchen staff.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by a dietitian.  The temperatures of refrigerators and freezers and recorded.  There is special equipment available for residents if required.  Snacks are available at all times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All food is stored appropriately.  Residents and the family members interviewed were very happy.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implementing a computer-based care planning system.  All of the resident care plans and files are now transferred over to the new software, including the seven resident files reviewed.  All care plans reviewed reflected the interRAI assessment, but did not provide interventions for all assessed needs or needs identified through progress notes.  Caregivers interviewed were well informed regarding resident care needs.  Care plans reviewed evidence multidisciplinary involvement in the care of the resident.  Care plan interventions remain a shortfall from the previous audit.  Short-term care plans were not always documented and did not always include interventions for care.</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service integration with documented input from a range of specialist care professionals including: the podiatrist, physiotherapist, dietitian and mental health care team for older people.  The care staff advised that the care plans are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goal orientated (link 1.3.5.2).  The staff interviewed stated that they have sufficient equipment and supplies to provide care.  Resident weights were noted to be monitored monthly or more frequently if necessary.  Monitoring records sighted (weights, food and fluids and turning charts).  Pain monitoring were documented on medimap.</w:t>
            </w:r>
          </w:p>
          <w:p w:rsidR="00EB7645" w:rsidRPr="00BE00C7" w:rsidP="00BE00C7">
            <w:pPr>
              <w:pStyle w:val="OutcomeDescription"/>
              <w:spacing w:before="120" w:after="120"/>
              <w:rPr>
                <w:rFonts w:cs="Arial"/>
                <w:b w:val="0"/>
                <w:lang w:eastAsia="en-NZ"/>
              </w:rPr>
            </w:pPr>
            <w:r w:rsidRPr="00BE00C7">
              <w:rPr>
                <w:rFonts w:cs="Arial"/>
                <w:b w:val="0"/>
                <w:lang w:eastAsia="en-NZ"/>
              </w:rPr>
              <w:t>There were seven residents with wounds at the time of the audit in the hospital/rest home.  There were four residents with wounds in the dementia unit.  One resident had a (healing) unstageable pressure injury.  Assessments, management plans and documented reviews were in place for all wounds.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nursing advice is available from the DHB as needed.  A physiotherapist is available one day during the week to assist with mobility assessments and the exercise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employ three activities coordinators (one full time and two part-time) to operate the activities programme for all residents over seven days.  Two of the three activities coordinators are trained diversional therapists.  Healthcare assistants also provide activities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Participation is monitored.  Group activities reflect ordinary patterns of life and include planned visits to the community.  All long-term resident files sampled have a recent activity plan within the care plan and this is evaluated at least six monthly when the care plan is evaluated.  Plans sampled in the dementia unit document activities to support the resident over the 24-hour period and each resident in the dementia unit now has a 24-hour care plan on the wall in their room to provide quick reference for visitors and staff.  Younger residents are encouraged to remain as active as possible within the community and to engage in age appropriate personal interest activities.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reassessed using the interRAI and the computerised care planning system at least six-monthly or if there has been a significant change in their health status.  Long-term care plans are then evaluated and rewritten or updated (link 1.3.5.2).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that expires on 15 September 2018.  All medical and electrical equipment has been serviced and/or calibrated.  Hot water temperatures are monitored and are managed within 43-45°C.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Six residents (hospital level) were using restraints and no residents were using an enabler.  Staff receive mandatory training around restraint minimisation.  All care staff interviewed understood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two restraint files sampled, restraint use has been reviewed on a CHT restraint assessment and consent evaluation form six-monthly (at a minimum).  This is an improvement since the previous audit.  The form used includes all aspects of 2.2.4.1 (a) to (k).  A monthly restraint report is completed by the restraint coordinator and is signed off by the unit manager each month.  This report is discussed at each (monthly) RN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556"/>
        <w:gridCol w:w="4047"/>
        <w:gridCol w:w="25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computer based assessment and care planning system.  Once the care plan has been developed it is printed off for the family to sign and then kept in a separate folder in the nurses’ station for caregivers to access.  All residents had a care plan documented, however, care plans had not been personalised for individual residents and did not document all resident care needs.  Short-term care plans were not always documented and did not always include interventions for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two hospital care plans did not include all interventions to safety guide resident care.  (a) One file did not document interventions around moving and handling, management of weight loss, the need for two hourly turns, and management of behaviours that challenge.  (b) One file did not document interventions around pain management and pressure injury prevention, and included contradictory advice regarding moving and handling.</w:t>
            </w:r>
          </w:p>
          <w:p w:rsidR="00EB7645" w:rsidRPr="00BE00C7" w:rsidP="00BE00C7">
            <w:pPr>
              <w:pStyle w:val="OutcomeDescription"/>
              <w:spacing w:before="120" w:after="120"/>
              <w:rPr>
                <w:rFonts w:cs="Arial"/>
                <w:b w:val="0"/>
                <w:lang w:eastAsia="en-NZ"/>
              </w:rPr>
            </w:pPr>
            <w:r w:rsidRPr="00BE00C7">
              <w:rPr>
                <w:rFonts w:cs="Arial"/>
                <w:b w:val="0"/>
                <w:lang w:eastAsia="en-NZ"/>
              </w:rPr>
              <w:t>(ii) One of two rest home care plans did not include interventions to support management of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(iii) One of one younger person (YPD) care plan did not include interventions to identify resident’s current abilities i.e.: self-feed and management of supra-public catheter.</w:t>
            </w:r>
          </w:p>
          <w:p w:rsidR="00EB7645" w:rsidRPr="00BE00C7" w:rsidP="00BE00C7">
            <w:pPr>
              <w:pStyle w:val="OutcomeDescription"/>
              <w:spacing w:before="120" w:after="120"/>
              <w:rPr>
                <w:rFonts w:cs="Arial"/>
                <w:b w:val="0"/>
                <w:lang w:eastAsia="en-NZ"/>
              </w:rPr>
            </w:pPr>
            <w:r w:rsidRPr="00BE00C7">
              <w:rPr>
                <w:rFonts w:cs="Arial"/>
                <w:b w:val="0"/>
                <w:lang w:eastAsia="en-NZ"/>
              </w:rPr>
              <w:t>(iv) Short-term care plans implemented, documented a goal and regular evaluations but no interventions (one YPD, one rest home).</w:t>
            </w:r>
          </w:p>
          <w:p w:rsidR="00EB7645" w:rsidRPr="00BE00C7" w:rsidP="00BE00C7">
            <w:pPr>
              <w:pStyle w:val="OutcomeDescription"/>
              <w:spacing w:before="120" w:after="120"/>
              <w:rPr>
                <w:rFonts w:cs="Arial"/>
                <w:b w:val="0"/>
                <w:lang w:eastAsia="en-NZ"/>
              </w:rPr>
            </w:pPr>
            <w:r w:rsidRPr="00BE00C7">
              <w:rPr>
                <w:rFonts w:cs="Arial"/>
                <w:b w:val="0"/>
                <w:lang w:eastAsia="en-NZ"/>
              </w:rPr>
              <w:t>(v) Acute or short-term changes in care needs did not always have a short-term care plan documented or the long-term care plan updated (one YPD, one hospital and one dementia).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care plans are individualised to resident needs and include all interventions to safely guide care.  (iv)- (v) Ensure that short-term/acute changes in care have a documented short-term care plan and documented resolution or the long-term care plan updated.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Margaret's Hospital and Rest Home</w:t>
    </w:r>
    <w:bookmarkEnd w:id="58"/>
    <w:r>
      <w:rPr>
        <w:rFonts w:cs="Arial"/>
        <w:sz w:val="16"/>
        <w:szCs w:val="20"/>
      </w:rPr>
      <w:tab/>
      <w:t xml:space="preserve">Date of Audit: </w:t>
    </w:r>
    <w:bookmarkStart w:id="59" w:name="AuditStartDate1"/>
    <w:r>
      <w:rPr>
        <w:rFonts w:cs="Arial"/>
        <w:sz w:val="16"/>
        <w:szCs w:val="20"/>
      </w:rPr>
      <w:t>5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