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Lakewood Rest Home Limited - Lakewood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Lakewood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2018</w:t>
      </w:r>
      <w:bookmarkEnd w:id="7"/>
      <w:r w:rsidRPr="009418D4">
        <w:rPr>
          <w:rFonts w:cs="Arial"/>
        </w:rPr>
        <w:tab/>
        <w:t xml:space="preserve">End date: </w:t>
      </w:r>
      <w:bookmarkStart w:id="8" w:name="AuditEndDate"/>
      <w:r w:rsidR="00A4268A">
        <w:rPr>
          <w:rFonts w:cs="Arial"/>
        </w:rPr>
        <w:t>24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Lakewood rest home is certified to provide dementia level care for up to 36 residents.  On the day of audit there were 35 residents.  The service is privately owned and managed by a registered nurse manager.  He is supported by three registered nurses, an administrator and care staff.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and staff. </w:t>
      </w:r>
    </w:p>
    <w:p w:rsidRPr="00A4268A">
      <w:pPr>
        <w:spacing w:before="240" w:line="276" w:lineRule="auto"/>
        <w:rPr>
          <w:rFonts w:eastAsia="Calibri"/>
        </w:rPr>
      </w:pPr>
      <w:r w:rsidRPr="00A4268A">
        <w:rPr>
          <w:rFonts w:eastAsia="Calibri"/>
        </w:rPr>
        <w:t>The service continues to implement a quality system, policies and procedures and education plan to enable staff to deliver best care.  Family/whānau interviewed commented positively on the standard of care and services provided at Lakewood rest home.</w:t>
      </w:r>
    </w:p>
    <w:p w:rsidRPr="00A4268A">
      <w:pPr>
        <w:spacing w:before="240" w:line="276" w:lineRule="auto"/>
        <w:rPr>
          <w:rFonts w:eastAsia="Calibri"/>
        </w:rPr>
      </w:pPr>
      <w:r w:rsidRPr="00A4268A">
        <w:rPr>
          <w:rFonts w:eastAsia="Calibri"/>
        </w:rPr>
        <w:t xml:space="preserve">This audit has identified improvements are required around incomplete documentation and aspects of medication prescribing.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Family are involved in the initial care planning, provided with ongoing feedback and informed if an incident/accident or a change in resident’s health status occurs.  Care plans accommodate the choices of residents and/or their family/whānau.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Lakewood rest home is implementing a quality and risk management system that supports the provision of clinical care.  Quality and risk data is collated for residents’ falls, infection rates, complaints received, restraint use, pressure injuries and medication errors.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A roster provides sufficient shifts to cover for the delivery of care and support to rest home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completes initial assessments, risk assessments, interRAI assessments and long-term care plans within the required timeframes.  Care plans are evaluated at least six monthly and meet the residents’ current needs and supports.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caregivers are responsible for administration of medicines and complete annual education and medication competencies.  The electronic medicine charts reviewed met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A 24-hour multidisciplinary care plan identifies a resident’s behaviours and activities or diversions that are successful.  The activity programme includes meaningful activities that meet the recreational needs and preferences of each resident.  Individual activity plans are developed in consultation with resident/family.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Nutritional snacks are available over a 24-hour period.  There is dietitian review and audit of the menus.  Food, fluid, and nutritional needs of residents are provided in line with recognised nutritional guidelines and additional requirements/modified needs were being met.  All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the provision of a non-restraint environment.  There is a documented definition of restraint and enablers that aligns with the definition in the standards.  There is a restraint register.  There are currently four residents assessed as requiring restraint and one resident using enablers.  Appropriate assessments, care planning, monitoring and evaluations are in place around restraint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(registered nurse) is responsible for coordinating education and training for staff.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9"/>
        <w:gridCol w:w="1280"/>
        <w:gridCol w:w="10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is responsible for ensuring complaints are addressed within the required timeframe and maintains contact with the complainant throughout the complaints process.  Complaints procedure information is provided to relatives during the admission process.  Two complaints received in 2017 were reviewed and reflected evidence of responding to the complaints in a timely manner with appropriate follow-up actions taken.  There have been no complaints received for 2018 to date.  Documentation including follow-up letters and resolution demonstrates that complaints are being managed in accordance with guidelines set forth by the Health and Disability Commissioner.  Discussions with families confirmed they were provided with information on complaints during their entry to the service.  Relatives can lodge formal or informal complaints through verbal and written communication, resident/relatives’ meetings, and complaint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All six relatives interviewed state they were welcomed on entry and were given time and explanation about the services and procedures.  Evidence of communication with family/whānau is recorded on the accident/incident form and in the residents’ progress notes.  Accident/incident forms reviewed identified family had been kept informed.  Relatives interviewed stated that they were informed when their family member’s health status changed.  A quarterly newsletter is provided for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is owned and managed by a registered nurse.  The home provides dementia level care for up to 36 residents.  On the day of audit there were 35 residents in total (34 residents under the age-related contract and one respite resident).  The manager has owned Lakewood for the past 14 years.  The manager has qualifications in education and mental health.  One full time registered nurse has been in the role just over one year and another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and a quality programme.  An annual quality plan is in place and the business/quality programme has been reviewed for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relating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 and staff reflect their understanding of the quality and risk management systems that have been put into place.  An annual quality plan for 2018 has been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quality meetings, and full staff meetings.  Resident meetings are held with follow-up of issues and discussions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survey was last conducted in April 2018, with all respondents advising that they are happy with all aspects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The service has a health and safety management system and a hazard register is in place.  Security and safety policies and procedures are in place to ensure a safe environment is provided.  Emergency plans ensure appropriate response in an emergency.  The owner manager states he is more aware of his responsibilities since the new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and could be described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follow-up action required.  The data is linked to the organisation's benchmarking programme and this is used for comparative purposes.  Minutes of the quality meetings, staff meetings and RN meetings reflect a discussion of incident statistics and analysis.</w:t>
            </w:r>
          </w:p>
          <w:p w:rsidR="00EB7645" w:rsidRPr="00BE00C7" w:rsidP="00BE00C7">
            <w:pPr>
              <w:pStyle w:val="OutcomeDescription"/>
              <w:spacing w:before="120" w:after="120"/>
              <w:rPr>
                <w:rFonts w:cs="Arial"/>
                <w:b w:val="0"/>
                <w:lang w:eastAsia="en-NZ"/>
              </w:rPr>
            </w:pPr>
            <w:r w:rsidRPr="00BE00C7">
              <w:rPr>
                <w:rFonts w:cs="Arial"/>
                <w:b w:val="0"/>
                <w:lang w:eastAsia="en-NZ"/>
              </w:rPr>
              <w:t>Twelve paper based resident related incident reports for February and March 2018 were reviewed.  All reports and corresponding resident files reviewed evidence that families were notified following an incident.  Unwitnessed falls did not always include appropriate neurology observations as per policy (link to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reviewed (registered nurse, two caregivers, one cook and one diversional therapist) included evidence of the recruitment process, signed employment contracts, police vetting and completed orientation programmes and annual performance appraisals.  Staff turnover was reported as 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The owner manager actively promotes a Careerforce training programme for all staff and has a Careerforce assessor on staff.  Staff interviewed were able to describe the orientation process and stated that they believed new staff were adequately orientated to the service.  There are currently 13 of the 17 caregivers that have completed core dementia NZQA standards.  Three of the four caregivers, who have not completed the required unit standards, have commenced employment in the past six months.  One other caregiver, employed for over six months has completed two modules and progress is being actively monitored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A completed in-service calendar for 2017 exceeded eight hours annually.  There is a structured education programme for all staff.  Competencies (hand hygiene, chemical, fire, hoist, H&amp;S, IC and medication) are completed annually for staff and the register identifies these are up-to-date.  The owner manager and registered nurses attend external training including conferences, seminars and education sessions with the local DHB.  Two of the current three RNs are interRAI trained with the third scheduled to begin training in May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has a weekly roster in place, which provides sufficient staffing cover for the provision of care and service to residents.  The manager (registered nurse) is on-site Monday to Friday.  There is a registered nurse on morning shift, seven days a week and a RN on afternoon shift for four days a week.  There are three full shifts and one short shift caregiver on all morning duties.  On afternoon there is a minimum of one long shift and two short shifts with additional support from either the RN or a senior caregiver.  There are two senior caregivers on night shifts.  The owner manager (RN) or a registered nurse cover 24/7 on call.  There is at least one staff member on each duty with a first aid certificate.  Staff and relatives interviewed confirmed that there are sufficient staff rostered on for the provision of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There are policies available for safe medicine management that meet legislative requirements.  The electronic medication charts reviewed identified that the GP had reviewed all resident’s medication three monthly and all allergies were noted.  All resident charts included photo identification.  Not all medication charts included indications for use for ‘as required’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senior staff who administer medications have been assessed for competency on an annual basis.  Education around safe medication administration has been provided.  Staff were observed to be safely administering medications including signing for medications at the time of administration.  Registered nurses interviewed could describe their role regarding medication administration.  The service currently uses robotic medications.  All medications are checked by an RN on delivery against the medication chart and any discrepancies are fed back to the supplying pharmacy.  All medications were in date and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use standing orders.  Lakewood is a secure dementia unit and there are no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daily and is maintained within an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on-site at Lakewood rest home.  Kitchen staff are trained in safe food handling and food safety procedures were adhered to.  There are two, five weekly seasonal menus that have been reviewed by a dietitian.  The meals are prepared in a small functional kitchen and served directly to the residents in the dining room, which is located adjacent to the kitchen.  The cook receives notification of any resident dietary changes and requirements.  Dislikes and food allergies are known and accommodated.  Resident weights are monitored monthly.  Residents displaying weight loss are reviewed and monitored by the general practitioner and the dietitian as needed.  Supplements are provided to residents with identified weight loss.  Drinks and snacks are available over 24/7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daily menu is posted in the dining room.  Feedback on the service is through observation of residents at mealtimes.  Family meetings and surveys provide an opportunity for relative feedback on the food service.  Families interviewed stated they were satisfied with food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food control plan registered with the local council.  Fridge and freezer temperatures are checked and recorded daily.  Food temperatures are documented daily.  Foods were date labelled and stored correctly.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and report progress against the care plan each shift at handover.  If external nursing or allied health advice is required, the registered nurse will initiate a referral (e.g., wound specialist nurse).  If external medical advice is required, this will be actioned by the GP.  Interviews with registered nurses and healthcare assistant demonstrated an understanding of the individualised needs of residents.  Care plan interventions included interventions to meet residents’ assessed needs.  There was evidence of monitoring charts in use (but not limited to), including security checks, food and fluid charts, blood glucose level monitoring, regular monitoring of bowels and regular (monthly or more frequently if required) weight management.  Not all monitoring following an adverse event was documented as required by the organisations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and medical supplies were sighted in the treatment room on the day of audit and staff interviewed reported they had access to sufficient dressings.   Sufficient continence products are available and resident files include a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ten wounds including three supra pubic catheter insertion sites, four skin tears, one chronic wound and two stage two pressure injuries (one was resolved to a stage one and the other was healed on day two of the audit).  Not all wound documentation was fully completed.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able to describe management of individual residents and their care.  Care staff were observed to be very supportive to residents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five days a week, from nine to five and a second activities trainee who works from midday to 8.00 pm Monday to Friday and alternate Saturdays from 9.00 am to 5.00 pm.  A caregiver is also rostered as an activities assistant on alternate Saturdays and every Sunday.  An activities programme is provided for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An individual activities and social profile and 24-hour plan has been developed for each individual resident based on assessed needs.  Progress notes are maintained on a weekly basis.  The resident’s activities plan is evaluated monthly and six monthly and documents progress towards meeting individual goals.  Resident files reviewed identified that the individual activity plan is reviewed at the same time as the care plan review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monthly and additional activities are supported by the caregivers.  Activities planned for the day are displayed on noticeboards around the facility.    The programme reflects the resident’s interests and abilities and they have choice in their level of participation.  Activities include (but are not limited to) newspaper reading, exercises, entertainment, bowls and other indoor games, walks, quizzes, and reminiscing, painting, arts and crafts, and board games.  One-to-one support is provided in situations where residents are unable to participate in group activities.  Outings occur regularly.  Attendance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newsletter is sent to resident families every three to four months along with an invitation to attend relatives’ meetings.  Activities are regularly evaluated with residents and family to ensure that the activity programme is appropriate for the residents who currently reside at Lakewood.  The activities coordinators stated at interview that residents are asked frequently to give verbal feedback and asked for suggestions.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family interviewed spoke positively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 monthly or earlier if there is a change in health status.  There was at least a three-monthly review by the GP.  Reassessments have been completed using interRAI LTCF and other relevant assessment tools for residents who have had a significant change in health status.  Short-term care plans sighted were evaluated and resolved or added to the long-term care plan if the problem is ongoing, as sighted in resident files sampled.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2018.  Hot water temperatures are recorded and are consistently recorded between 43 and 45 degrees Celsius.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has an established infection control programme.  The infection control programme, its content and detail, is appropriate for the size, complexity and degree of risk associated with the service.  A registered nurse is the designated infection control coordinator with support from the infection control team.  The infection control team (owner manager and two registered nurses) meet regularly.  Monthly infection data is collected for all infections based on signs and symptoms of infection and is analysed.  Short-term care plans are used.  Surveillance of all infections is entered onto a monthly infection summary in the electronic database.  This data is monitored and evaluated monthly and compared month-by-month.  Infection control is discussed at all staff meetings.  Minutes are available for staff.  Spot infection control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If there is an emergent issue, it is acted upon in a timely manner.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four residents with restraint authorities for either lap belts or chair tables and monitoring plans in place, however none of these are in current use.  There is one resident using a chair table as an enabler.  Enabler use is voluntary.  Staff interviews, and staff records evidence guidance has been given on restraint minimisation and safe practice (RMSP) and challenging behaviour management and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2"/>
        <w:gridCol w:w="1280"/>
        <w:gridCol w:w="5028"/>
        <w:gridCol w:w="2398"/>
        <w:gridCol w:w="18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is responsible for the prescribing of all medications and reviews the resident’s medication at least 3 monthly.  Not all ‘as required’ medication has indications for use documented.  The GP had documented as per discharge recommendations on one residents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twelve medication charts did not have ‘indications for use’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as required medication includes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staff complete an assessment of the resident following any adverse event, and notify the registered nurse.  In the accident and incident forms reviewed, neurological observations had not been completed following all falls, as required by the organisational policy.  Five of ten wounds had all wound care documentation completed and dressings completed at the documented frequency.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eight accident and incident forms reviewed for residents following an unwitnessed fall, did not have neurological observations recorded as required by the organisational policy</w:t>
            </w:r>
          </w:p>
          <w:p w:rsidR="00EB7645" w:rsidRPr="00BE00C7" w:rsidP="00BE00C7">
            <w:pPr>
              <w:pStyle w:val="OutcomeDescription"/>
              <w:spacing w:before="120" w:after="120"/>
              <w:rPr>
                <w:rFonts w:cs="Arial"/>
                <w:b w:val="0"/>
                <w:lang w:eastAsia="en-NZ"/>
              </w:rPr>
            </w:pPr>
            <w:r w:rsidRPr="00BE00C7">
              <w:rPr>
                <w:rFonts w:cs="Arial"/>
                <w:b w:val="0"/>
                <w:lang w:eastAsia="en-NZ"/>
              </w:rPr>
              <w:t>ii)  Three of ten wound care plans sampled did not follow the frequency as documented in the wound management plans.</w:t>
            </w:r>
          </w:p>
          <w:p w:rsidR="00EB7645" w:rsidRPr="00BE00C7" w:rsidP="00BE00C7">
            <w:pPr>
              <w:pStyle w:val="OutcomeDescription"/>
              <w:spacing w:before="120" w:after="120"/>
              <w:rPr>
                <w:rFonts w:cs="Arial"/>
                <w:b w:val="0"/>
                <w:lang w:eastAsia="en-NZ"/>
              </w:rPr>
            </w:pPr>
            <w:r w:rsidRPr="00BE00C7">
              <w:rPr>
                <w:rFonts w:cs="Arial"/>
                <w:b w:val="0"/>
                <w:lang w:eastAsia="en-NZ"/>
              </w:rPr>
              <w:t>iii) Three of ten wounds did not have evaluations documented with each review of the wound.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neurological observations are completed according to the organisational policy for all residents following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ii)  Ensure that dressings occur at the frequency documented in the wound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wound care documentation is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Lakewood Rest Home Limited - Lakewood Rest Home</w:t>
    </w:r>
    <w:bookmarkEnd w:id="58"/>
    <w:r>
      <w:rPr>
        <w:rFonts w:cs="Arial"/>
        <w:sz w:val="16"/>
        <w:szCs w:val="20"/>
      </w:rPr>
      <w:tab/>
      <w:t xml:space="preserve">Date of Audit: </w:t>
    </w:r>
    <w:bookmarkStart w:id="59" w:name="AuditStartDate1"/>
    <w:r>
      <w:rPr>
        <w:rFonts w:cs="Arial"/>
        <w:sz w:val="16"/>
        <w:szCs w:val="20"/>
      </w:rPr>
      <w:t>23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