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Deakoda Holdings Limited - Shalom Aged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Deakoda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Shalom Aged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May 2018</w:t>
      </w:r>
      <w:bookmarkEnd w:id="7"/>
      <w:r w:rsidRPr="009418D4">
        <w:rPr>
          <w:rFonts w:cs="Arial"/>
        </w:rPr>
        <w:tab/>
        <w:t xml:space="preserve">End date: </w:t>
      </w:r>
      <w:bookmarkStart w:id="8" w:name="AuditEndDate"/>
      <w:r w:rsidR="00A4268A">
        <w:rPr>
          <w:rFonts w:cs="Arial"/>
        </w:rPr>
        <w:t>15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Shalom Aged Care is certified to provide rest home level of care across 30 beds.  On the day of the audit there were 30 residents living at the facility and all were under the aged residential care contract.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Shalom Aged Care is privately owned.  The owner is on-site two days a week and assists with maintenance.  Day-to-day operations are delegated to two experienced managers.  The administration manager has been at the facility for nine years.  The second manager is a registered nurse with a current practicing certificate who has over 30 years of aged care experience.  Both managers have maintained over eight hours annually of professional development activities related to managing an aged care facility. </w:t>
      </w:r>
    </w:p>
    <w:p w:rsidRPr="00A4268A">
      <w:pPr>
        <w:spacing w:before="240" w:line="276" w:lineRule="auto"/>
        <w:rPr>
          <w:rFonts w:eastAsia="Calibri"/>
        </w:rPr>
      </w:pPr>
      <w:r w:rsidRPr="00A4268A">
        <w:rPr>
          <w:rFonts w:eastAsia="Calibri"/>
        </w:rPr>
        <w:t>The service has an established quality and risk management system.  Residents, families and the general practitioner interviewed commented positively on the standard of care and services.</w:t>
      </w:r>
    </w:p>
    <w:p w:rsidRPr="00A4268A">
      <w:pPr>
        <w:spacing w:before="240" w:line="276" w:lineRule="auto"/>
        <w:rPr>
          <w:rFonts w:eastAsia="Calibri"/>
        </w:rPr>
      </w:pPr>
      <w:r w:rsidRPr="00A4268A">
        <w:rPr>
          <w:rFonts w:eastAsia="Calibri"/>
        </w:rPr>
        <w:t>The one shortfall identified as part of the previous audit has been addressed.  This was around reporting to staff meetings.</w:t>
      </w:r>
    </w:p>
    <w:p w:rsidRPr="00A4268A">
      <w:pPr>
        <w:spacing w:before="240" w:line="276" w:lineRule="auto"/>
        <w:rPr>
          <w:rFonts w:eastAsia="Calibri"/>
        </w:rPr>
      </w:pPr>
      <w:r w:rsidRPr="00A4268A">
        <w:rPr>
          <w:rFonts w:eastAsia="Calibri"/>
        </w:rPr>
        <w:t>This audit has identified further improvements required around; staff appraisals, first aid certificates and timeframes.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service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staffing policy aligns with contractual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activities coordinator.  All meals are prepared on-site.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or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5"/>
        <w:gridCol w:w="1280"/>
        <w:gridCol w:w="104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and complaint forms are readily available in the foyer.  The service has received no complaints for 2017 and 2018 year-to-date.  Four residents and family members interviewed advised that they are aware of the complaints procedure.  They agreed that the managers are very proactive, and any issues raised are addressed very quickly.  All relatives said they had no reason to complain.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joint managers (one clinical and one administration) confirmed family are kept informed.  Four relatives stated they are notified promptly of any incidents/accidents.  Residents/relatives have the opportunity to feedback on service delivery through annual surveys and open-door communication with management and this was observed on the day of audit.  Monthly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30 beds at Shalom Aged Care are certified for rest home level of care.  On the day of the audit the facility was at full capacity with 30 residents living at the facility and all were under the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Shalom Aged Care is privately owned.  The owner is on-site two days a week and assists with maintenance.  Day-to-day operations is delegated to two experienced managers.  One manager has been at the facility for nine years.  She is employed Monday – Friday and holds an administrative role.  The second manager is a registered nurse with a current practicing certificate who has over 30 years of aged care experience.  She has been working at Shalom Aged Care for 14 years and works three–four days per week.  Both managers have maintained over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which is reviewed annually.  The business plan includes; the mission, philosophy, Māori health, quality and risk management, and hazards.  The plan is reviewed annually and was currently under review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Shalom aged care has an established quality and risk programme.  The service employs a non-practicing enrolled nurse to oversee the quality process.  The owner is active within the service and is provided with all meeting minutes as well as regular meetings with the two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(three caregivers, three registered nurses, one cook, one activities coordinator and the quality staff member)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Quarterly quality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The staff interviewed were aware of quality data results, trends and corrective actions.  This is an improvement on the previous audit.  Other meetings include three monthly infection control meetings, senior management meetings and resident/family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Corrective actions are developed, implemented and signed-off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two managers are responsible for health and safety education, internal audits and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 register.  The managers review all incidents and ensure follow-up.  Residents with multiple falls are clinically reviewed with one recently transferred to a higher level of care.  Incidents and accidents are discussed at the quarterly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caregivers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managers interviewed could describe situations that would require reporting to relevant authorities.  The service has reported two section 31s; one for a wandering resident (now at a higher level of care) and one section 31 for a bomb scare.  Following the scare the service conducted a debrief, reviewed the process and practice and updated its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support recruitment practices.  Five staff files were reviewed (two RNs, two caregivers and the quality person).  All files contained relevant employment documentation and completed orientations.  However, not all staff appraisals were up-to-date.  Current practising certificates were sighted for the registered nurses.  The service has an orientation programme in place that provides new staff with relevant information for safe work practice.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commenced on-line training for staff during 2017.  A designated lap top has been provided for staff so that they can easily access the training.  There is a list of compulsory training each year and staff are expected to access and complete all training on the list.  The service maintains a register and follows up staff members who are not managing to keep up with the training.  A review of the register documented that staff are completing training.  Face-to-face training is also provided for other subjects such as chemical safety and manual handling as examples.  A review of all training for 2017 and 2018 year-to-date evidences that all compulsory subjects have been provided over the two years with very good attendance.  One of the three RNs have completed interRAI training.  Clinical staff complete competencies relevant to their role.  The RNs and clinical manager are able to access external training.  Not all staff have an up-to-date first aid certificate.  First aid training had already been booked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A minimum of one RN is on-site Monday – Friday.  A roster provides sufficient and appropriate coverage for the effective delivery of care and support.  An RN is available on-call weekends and after hours and can contact the clinical manager as required for clinical concerns.  A quality person also works two to three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(non-clinical) is on duty during the day Monday to Friday.  The clinical manager works three days a week and there are RNs on duty on the days she is not there.  Not all shifts have a staff member with a current first aid certificate (link to 1.2.7.5).</w:t>
            </w:r>
          </w:p>
          <w:p w:rsidR="00EB7645" w:rsidRPr="00BE00C7" w:rsidP="00BE00C7">
            <w:pPr>
              <w:pStyle w:val="OutcomeDescription"/>
              <w:spacing w:before="120" w:after="120"/>
              <w:rPr>
                <w:rFonts w:cs="Arial"/>
                <w:b w:val="0"/>
                <w:lang w:eastAsia="en-NZ"/>
              </w:rPr>
            </w:pPr>
            <w:r w:rsidRPr="00BE00C7">
              <w:rPr>
                <w:rFonts w:cs="Arial"/>
                <w:b w:val="0"/>
                <w:lang w:eastAsia="en-NZ"/>
              </w:rPr>
              <w:t>Caregivers cover two full shifts and one short shift on AM shifts, and two full shifts for the PM shift and one caregiver on nights.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RNs, and clinical and administration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in the electronic medication system.  The service uses a four-weekly blister pack system for tablets and other medicines are pharmacy packaged.  All medicines are stored securely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verification check is completed by the RN against the resident’s medicine order when new medicines are supplied from the pharmacy.  Short-life medications (i.e., eye drops and ointments) are dated once opened.  Education on medication management has occurred with competencies conducted for the registered nurse and caregivers with medication administration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identified that the GP had seen the resident three-monthly and the medication chart was signed each time a medicine was administered by staff.  A registered nurse was observed administering medications and followed correct procedures.  Three residents self-administer medicines and have current competency assessments around this.  They have access to secure storage in their rooms.  Staff check each shift that these residents have safely self-administered their medications and record this on the medication administration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 Monday to Friday qualified kitchen supervisor/cook is supported by a weekend cook, relief cooks and a tea cook.  All staff have completed food safety training.  The service has completed a food control plan that is currently with the local authority for approval.  Meals are served directly from the kitchen to residents in the adjacent dining room.  Dietary profiles are documented for new residents and the kitchen is informed of any changes to dietary needs.  Likes and dislikes are accommodated.  Additional or modified foods such as pureed foods, diabetic desserts and vegetarian meals are provided.  Residents’ weights are recorded routinely each month or more frequently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end-cooked temperatures are monitored and recorded daily.  Temperatures of meat on delivery are recorded.  All containers of food stored in the pantry are labelled and dated.  A cleaning schedule is maintained.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goal orientated.  The staff interviewed stated that they have sufficient equipment and supplies to provide care.  Resident weights were noted to be monitored monthly or more frequently if necessary.  There were no residents with wounds at the time of audit.  Specialist nursing advice is available from the DHB as needed.  A physiotherapist is available as needed.  Monitoring records sighted (weights, food and fluids and turning charts) were consistently completed.  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who has been in the role for 16 months.  She is responsible for the planning and delivery of the individual and group activities programme with assistance from the staff.  There are organised activities five days per week.  The activities coordinator with assistance from the clinical manager completes a resident activity profile on admission and an individual activity plan which is reviewed six-monthly as part of the six-monthly multidisciplinary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is kept of individual resident’s activities and monthly progress notes completed.  The resident/family/EPOA as appropriate is involved in the development of the activity plan.  There is a wide range of activities offered that reflect the resident’s needs.  Participation in all activities is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published weekly, and a copy of the programme is available in the lounge, on noticeboards and in each resident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commented positively on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rewritten.  There was documented evidence that care plan evaluations were current in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prominently displayed.  Reactive and preventative maintenance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no residents using restraints or enablers at the time of the audit.  Fourteen residents with bed hoops are included on the enabler register to ensure the service maintains records.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6"/>
        <w:gridCol w:w="1280"/>
        <w:gridCol w:w="5921"/>
        <w:gridCol w:w="2923"/>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booked first aid training for staff, as not all staff members have an up-to-date first aid certificate.  The service has ensured that the on-call person has a first aid certificate.  Staff state that the on-call person (RN) always replies promptly and attends the service as needed.  The first aid certificate for the staff member is one month overdue.  This risk has been assessed to be low for these reasons.  There is a staff appraisal process in place but not all appraisals are up-to-date.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staff member did not have an up-to-date first aid certificate, this has led to some shifts being without a staff member with a current first aid certificate.  (ii) Two of five staff files reviewed did not have an up-to-date appraisal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staff first aid certificates are up-to-date, and (ii) ensure that all staff have an up-to-date appraisal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all stages of assessment, care planning and evaluations.  Care plans documented were individualised and reflected resident need.  However, not all were documented within set timeframes.  One of five interRAI assessments were not completed within 21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long-term care plans were not documented within 21 days and one initial interRAI was not completed within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documentation is in place within set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Deakoda Holdings Limited - Shalom Aged Care</w:t>
    </w:r>
    <w:bookmarkEnd w:id="58"/>
    <w:r>
      <w:rPr>
        <w:rFonts w:cs="Arial"/>
        <w:sz w:val="16"/>
        <w:szCs w:val="20"/>
      </w:rPr>
      <w:tab/>
      <w:t xml:space="preserve">Date of Audit: </w:t>
    </w:r>
    <w:bookmarkStart w:id="59" w:name="AuditStartDate1"/>
    <w:r>
      <w:rPr>
        <w:rFonts w:cs="Arial"/>
        <w:sz w:val="16"/>
        <w:szCs w:val="20"/>
      </w:rPr>
      <w:t>14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