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Rannerdale War Veterans Home Limited - Rannerdale War Veterans' Hospital and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Rannerdale War Veterans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Rannerdale War Veterans' Hospital and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May 2018</w:t>
      </w:r>
      <w:bookmarkEnd w:id="7"/>
      <w:r w:rsidRPr="009418D4">
        <w:rPr>
          <w:rFonts w:cs="Arial"/>
        </w:rPr>
        <w:tab/>
        <w:t xml:space="preserve">End date: </w:t>
      </w:r>
      <w:bookmarkStart w:id="8" w:name="AuditEndDate"/>
      <w:r w:rsidR="00A4268A">
        <w:rPr>
          <w:rFonts w:cs="Arial"/>
        </w:rPr>
        <w:t>3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Rannerdale War Veterans' Hospital and Home is certified to provide care across three levels (hospital-medical/geriatric, rest home and residential disability -physical level care).  They have a total of 65 beds with current occupancy of 52 residents.  </w:t>
      </w:r>
    </w:p>
    <w:p w:rsidRPr="00A4268A">
      <w:pPr>
        <w:spacing w:before="240" w:line="276" w:lineRule="auto"/>
        <w:rPr>
          <w:rFonts w:eastAsia="Calibri"/>
        </w:rPr>
      </w:pPr>
      <w:r w:rsidRPr="00A4268A">
        <w:rPr>
          <w:rFonts w:eastAsia="Calibri"/>
        </w:rPr>
        <w:t>The service is overseen by a general manager, who is well qualified and experienced for the role and is supported by a senior management team, including a resident care manager, business and finance manager, maintenance manager and a learning and development unit manager.  Family/whānau and general practitioner interviewed, commented positively on the standard of care and services provided at Rannerdale Veterans Hospital and Home.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This audit has identified areas requiring improvement around care planning and care interventions.  The service has exceeded expectations around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The complaints policy and procedures are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quality assurance and risk management programme being implemented.  Progress with the quality assurance and risk management programme is designed to monitor contractual and standards compliance and to ensure that residents receive care in the best possible way.  Quality activities are conducted.  Intermittent meetings are held to discuss quality assurance and risk management processes.  Residents and families are surveyed annually.  Health and safety policies, systems and processes are implemented to manage risk.  Incidents and accidents are reported.  Appropriate employment processes are adhered to and all employees have an annual staff performance appraisal completed.  The service has an orientation programme in place that provides new staff with relevant information for safe work practice.  There is a documented annual in-service education programme in place.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 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Rannerdale Veterans Hospital and Home has a current building warrant of fitness and there is an approved evacuation scheme.  Reactive and preventative maintenance is carried out.  Medical equipment has been calibrated.  There is a designated laundry and a cleaner’s room with safe storage of cleaning and laundry chemicals.  Residents’ rooms are of sufficient space to allow services to be provided and for the safe use and manoeuvring of mobility aids.  There are sufficient communal areas within the home that include a large lounge and separate dining areas, and smaller seating areas.  The service has implemented policies and procedures for civil defence and other emergencies and six-monthly fire drills are conducted.  There is a civil defence kit and evidence of supplies in the event of an emergency in line with Civil Defence guidelines.  Staff receive training in first aid and are able to respond to emergency situations.  There is a call bell system in all areas.  General living areas and resident rooms are appropriately heated and ventilated and have good lighting.  External garden areas are available with suitable pathways, seating and shade provided.  Smoking is only permitted in designated external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Enablers are voluntary and the least restrictive option.  There are six hospital residents who require enablers and no residents requiring the use of restraints.  Staff training records evidence guidance has been given on restraint minimisation and enabler usage.  The restraint coordinator is a registered nurse.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3"/>
        <w:gridCol w:w="1280"/>
        <w:gridCol w:w="100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13 care staff (five HCAs, five registered nurses (RN), one enrolled nurse (EN) and two recreation programme facilitators) confirmed their familiarity with the Health and Disability Commissioner (HDC) Code of Health and Disability Services Consumers’ Rights (the Code).  Nine residents (six rest home including two younger persons with disabilities (YPD), and three hospital including one YPD) and three relatives (one rest home and two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informed consent is gained for general consents and were sighted in the eight resident files sampled.  Written consent is also gained for specific procedures such as the influenza vaccine.  Resuscitation orders had been signed by the resident and general practitioner in all files reviewed.  Residents interviewed confirm they were given good information to be able to make informed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 family are involved with the consent of the resident.  Enduring power of attorney (EPOA) documents were sighted on the resident's files reviewed.  Discussion with family identify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for example, going shopping, and attending cafés and restaurants.  Interviews with staff, residents and relatives informed residents are supported and encouraged to remain involved in the community and external groups.  Relatives and friends are encouraged to be involved with the service and care.  Rannerdale War Veterans' Hospital and Home has a number of younger people including residents on YPD contracts.  These residents are engaged in a range of diverse community activities including (but not limited to) health and wellness, social groups and community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are implemented and residents and their family/whānau are provided with information on admission.  The residents and families interviewed were aware of the complaints process and to whom they should direct complaints.  There are complaint forms available throughout the facility.  Staff interviewed described the process around reporting complaints.  There is a complaint register.  Verbal and written complaints are documented.  There were 12 complaints made in 2017 and three complaints received in 2018 year-to-date.  All complaints reviewed document a timely response to complainants.  The complaints documentation includes an investigation, corrective actions when required and resolutions.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Monthly resident and resident committee meetings (alternate months) provide the opportunity to raise concerns.  An annual resident/relative satisfaction survey is completed.  Surveys include young people with disabilities around issues relevant to this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and a code of conduct are signed by staff at commencement of employment.  Residents and relatives interviewed reported that residents can choose to engage in activities and access community resources.  There is an abuse and neglect policy and staff education and training on abuse and neglect has been provided in April 2018.  Young people with disabilities can maintain their personal, gender, sexual, cultural, religious and spiritual identity.  There are a variety of resident contracts, however, interviews with residents and relatives and documentation reviewed confirmed that all residents are getting appropriate individualised care despite the mix.</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War Veterans' Hospital and Home has a Māori health plan that includes a description of how they achieve the requirements set out in the contract.  There are supporting policies that provide recognition of Māori values and beliefs and identify culturally safe practices for Māori.  At the time of audit there was one resident who identified as Māori.  A review of the resident’s file identified involvements in specific Māori community events as requested by the resident.  Māori consultation is available through the local Nga Hau E Whā National Marae as required.  Staff interviewed could describe how they can ensure they meet the cultural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are invited to attend.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staff meeting occurs bi-monthly and includes discussions on professional boundaries and concerns as they arise.  Management provide guidelines and mentoring for specific situations.  Interviews with the resident care manager, care coordinator, RNs and HCAs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The learning &amp; development manager and nurse educator are responsible for coordinating the internal audit programme.  A variety of staff meetings are conducted.  Residents and relatives interviewed spoke positively about the care and support provided.  Staff have a sound understanding of principles of aged care and also younger people.  Staff interviewed stated that they feel supported by the resident care manager, care coordinator and RNs.  Care staff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Twelve incidents/accidents forms were reviewed for March 2018.  The forms included a section to record family notification.  All forms indicated family were informed or if family did not wish to be informed.  Family members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War Veterans' Hospital and Home is owned and operated by the Rannerdale Trust.  The service provides hospital, rest home and residential disability (physical) level care for up to 65 residents.  At the time of the audit, there were six rest home rooms that were not being utilised upstairs due to earthquake risks.  On the day of the audit, there were 52 residents in total.  There are 24 rest home level residents (including four on long-term support chronic health condition (LTS-CHC) contracts, four on YPD contracts, one resident on respite care (funded by ACC) and one resident on an individual funding agreement (shared DHB and MoH).  Five of the rest home residents are upstairs.  There are 28 hospital level residents (including 4 on LTS-CHC contracts and 10 on YPD contracts).  All rest home and hospital beds downstairs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Rannerdale Trust has a strategic plan in place for 2015–2020.  Strategic goals and objectives are documented and are regularly reviewed by the general manager and the trust board.  The organisation has a philosophy of care, which includes a mission statement.  Rannerdale War Veterans' Hospital and Home has a business plan for 2017–2018 in place.  The general manager reports to the Board of Directors (four board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an RN and maintains an annual practicing certificate.  He has been at Rannerdale War Veterans' Hospital and Home for 14 years.  The organisation completed an organisational structure change in January 2018.  Within the new organisational structure, the general manager is supported by a resident care manager, learning &amp; development manager, home care coordinator, finance &amp; business manager, maintenance manager and an executive administration assistant.  The resident care manager is an RN and is supported by a care coordinator.  The learning and development manager is an RN supported by a nurse educator.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resident care manager covers the general manager’s role, with the support from the other members of the senior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assurance and risk management programme being implemented.  Progress with the quality assurance and risk management programme is designed to monitor contractual and standards compliance and is monitored through the monthly quality improvement/management meeting and bi-monthly staff meetings.  The philosophy of the quality assurance &amp; risk management plan is to ensure that residents receive care in the best possible way.  Data is collected in relation to a variety of quality activities and an annual internal audit schedule is in place.  Interviews with staff confirmed that quality data is provided on noticeboards for all staff to read.  Facility meetings have been completed as per the annual meeting calendar schedule.  Any required actions and responsibilities are implemented, evaluated and completed.  The internal audit schedule for 2018 to date has been completed and any corrective actions have been followed up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policies/procedures to support service delivery.  Policies and procedures are reviewed regularly by an external quality advisor who ensures they align with current good practice and meet legislative requirements.  All staff are required to sign the policy and procedure familiarisation form to indicate they have read the policy documents.  There are policies and procedures appropriate for service delivery including the specific needs of younger people.  There was an annual resident/relative satisfaction survey completed in March 2018 with an 86% overall satisfaction rate.  A corrective action plan has been put in place around improvements required with food services.  Resident meetings and resident committee meetings are held alternate months.  All residents interviewed stated they are aware of the resident committee meetings and how to have input into them or get feedback.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three-monthly health and safety committee meetings.  A health and safety representative (maintenance manager) was interviewed about the health and safety programme.  The maintenance manager has completed specific health and safety training.  Risk management, hazard control and emergency policies and procedures are in place.  The service documents and analyses incidents/accidents, unplanned or untoward events and provides feedback to the service and staff.  The data is tabled at the quality improvement/management meeting and staff meetings.  A review of the hazard register indicates that there is resolution of issues identified.  Falls prevention strategies include, residents experiencing frequent falls have an increase in monitoring to anticipate needs, such as ensuring fluids are at hand, call bells are within reach and falls prevention education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resident care manager or care coordinator investigates accidents and near misses and analysis of incident trends occurs.  There is a discussion of incidents/accidents at clinical leadership meetings including actions to minimise recurrence.  An RN has documented a clinical follow-up of residents in the twelve incident forms reviewed and demonstrated an investigation of incidents to identify areas to minimise the risk of recurrence.  Discussions with the general manager and resident care manager confirmed that there is an awareness of the requirement to notify relevant authorities in relation to essential notifications.  There have been no section 31 notifications required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and include that the recruitment and staff selection process requires that relevant checks are completed to validate the individual’s qualifications, experience and veracity.  A copy of practising certificates is kept.  Nine staff files were reviewed (one resident care manager, one learning &amp; development manager, one care coordinator, two RNs, three HCAs and one recreation programme facilitator).  These evidence appropriate employment practices including that reference checks were completed before employment was offered.  All senior management (including the general manager) had position description reviews completed during the organisational structure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to meet the needs of the residents.  The residential care manager was employed in January 2018 and completed a comprehensive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dedicated learning &amp; development unit was established to support staff training and development.  The in-service education programme for 2018 is being implemented and the education programme for 2017 has been completed.  The RNs are able to attend external training, including sessions provided by the local DHB.  There are currently eight RNs working at Rannerdale War Veterans' Hospital and Home and all eight are interRAI trained.  Staff training has included sessions on privacy/dignity, spirituality/counselling and social media to ensure the needs of younger residents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Staff ratio mix was reviewed during the organisational structure change to reflect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senior nursing team is in place, there is a full-time resident care manager and care coordinator who work from Monday to Friday.  There is always a senior RN and senior HCA on duty 24/7.  There is a long standing consistent HCA team available.  A member of the management team is on call at all times.  Registered nurses have sufficient time available to complete interRAI assessments and care planning evaluations within contractual timeframes.  Interviews with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hospital/rest home dual-purpose beds are split into seven wings (Shirley Symons, Jacinda Baker, John Masters, Totara, Rimu, Kowhai and Manuka wings).  At the time of the audit there were 24 rest home residents in total.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24 rest home residents, five are in rooms upstairs in the Rata wing (all five residents are mobile and can manage the stairs independently, there is also a lift available should the residents prefer to utilise it).  In the hospital/rest home area there are two RNs and one EN on duty on the morning shift, two RNs on the afternoon shift and one RN on the night shift in the rest home/hospital area.  The RNs are supported by adequate numbers of HCAs.  There are six HCAs on duty on the morning shift, five HCAs on the afternoon shift and three HCAs on the night shift.  One of the HCAs on the morning shift that covers the rest home residents in the upstairs Rata wing.  Residents who require one-on-one supervision are supervised by non-clinical support workers as per their specific contractual requirements and/or service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Care plans and notes were legible and where necessary, signed (and dated) by a RN.  Entries are legible, dated and signed by the relevant HCA or RN including designation.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this was included in the eight files reviewed.  A registered nurse completed an initial assessment on admission.  The service has an admission policy, admission agreement and a resident information pack available for residents/families at entry.  The admission agreement reviewed aligned with the ARC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RNs interviewed, stated residents discharged home under the restorative care model have a documented discharge plan ensuring ongoing community support.  The residents and their families are involved for all exit or discharges to and from the service.  The service uses the yellow envelope transfer form for acute transfers to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enrolled nurse and senior caregivers who administer medications complete annual medication education, training and competency assessment.  Annual in-service education on medication is provided by the supplying pharmacist.  Medications (robotics packs) are checked on delivery against the electronic medication chart and any discrepancies feedback to the pharmacy.  All medications are stored safely in the central medication room.  Standing orders are not used.  Two self-medicating residents had a self-medication competency completed and reviewed three monthly by the GP.  The medication fridge is monitored daily.  Syringe driver competencies have been completed by RNs and syringe drivers have been calibrated.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electronic medication charts were reviewed.  All medication charts had photo identification and an allergy status.  The GP reviews the medication charts at least three monthly.  The administration signing sheets reviewed identified medications had been administered as prescribed.  Prescribed ‘as required’ medications include the indication for use.  The dose and time given is signed for on the administration sighing sheet.  Pain monitoring forms record the effectiveness of pain relief.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contracted meal service provider prepares and cooks all meals on-site.  The site manager oversees the nutritional service with the assistance of a full time cook and catering assistants.  There is a four-weekly winter and summer menu, which had been reviewed by a dietitian.  Meals are prepared in a well-appointed kitchen.  There is a registered food control plan implemented.  Kitchen staff are trained in safe food handling and food safety procedures were adhered to.  The kitchen is adjacent to the large dining room.  Diets are modified as required.  Food services staff know resident dietary profiles and likes and dislikes, and any changes are communicated to the kitchen via the registered nurse.  Supplements are provided to residents with identified weight loss issues.  Weights are monitored monthly or more frequently if required and as directed by a dietitian (link 1.3.5.2).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records the reason for declining entry to potential residents should this occur and communicates this to potential residents/family/whānau and refers them back to the referral agency.  The reason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admitted with a care needs level assessment completed by the needs assessment and service coordination team prior to admission.  Personal needs information is gathered during admission, which forms the basis of resident goals and objectives.  InterRAI assessments and where applicable paper assessments are reviewed at least six monthly for all residents.  The YPD and LTS-CHC files reviewed had a suite of paper assessments that linked to resident goals/objectives.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and other clinical nursing assessments inform the development of the resident’s care plan.  The long-term care plans reviewed described aspects of support required to meet the resident’s goals and needs, however not all residents care needs had care plan interventions noted in sufficient detail to guide the care staff.  The care plans sampled identified allied health involvement.  Residents and their family/whānau interviewed reported that they are involved in the care planning and review process.  Short-term care plans are in use for changes in health status.  Staff interviewed reported they found the care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Not all required monitoring was completed as noted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three monthly medical reviews or earlier for health status changes.  Residents and relatives interviewed confirmed care delivery and support by staff is consistent with their expectations.  Families confirmed they were kept informed of any changes to resident’s health status.  Resident files reviewed included communication with family recorded.</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were in place for twenty wounds (13 residents); 12 skin tears, one surgical wound, one chronic ulcer, two stage one pressure injuries and four skin lesions.  All wounds have documented assessments and a treatment plan in place.  All wounds show evidence of healing with the exception of the chronic ulcer.  Staff report there are adequate continence supplies and dressing supplies.  On the day of the audit supplies of these products were sighted.  Short-term care plans were also in place for two residents with stage one pressure injuries.  The RN interviewed could describe the referral process to a wound specialist or continence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at Rannerdale provide an activities programme encompassing links to the restorative model of care and enabling strong community links for the residents.  The joint hospital and rest home programme is scheduled across six days.  A monthly activities calendar and newsletter is distributed to residents and is posted on noticeboards.  Group activities are voluntary and developed by the activities staff in consultation with the occupational therapist, physiotherapist and rehabilitation assistants.   Residents are able to participate in a range of activities that were appropriate to their cognitive and physical capabilities.  The service has a van which is used for resident outings.  Trips in the community have included (but not limited to) visits to other facilities for competitions, to the museum, parks, gardens and a local swimming pool games.  On-site activities include board games, canine therapy visits, bowls, indoor games, happy hour, gym circuit sessions, exercises, brain gym and church services.  Activities for younger people include breakfast club, coffee outings, walks and one-on-one talks.  Special interest groups include a creativity group, a Friday lunch club where themes are celebrated as per participants requests and with input from the creativity group, a well-being group and a pilot creative art group for veterans with post-traumatic stress disorders.  The activities programme has exceeded the required standard.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involved in the admission process completing the initial profile, an activities care plan, and a 24-hour activities plan.  An activities plan is completed within timeframes, a monthly record of attendance to activities and a review is maintained and evaluations are completed six-monthly.  All residents who do not participate regularly in the group activities are visited by a member of the activity staff with records kept ensuring all such residents are included.  Activities are varied to meet the needs of the various categories of residents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positively of the activity programme with feedback and suggestions for activities made via monthly meetings and surveys.  The organisation has an occupational therapist that oversees the activity programme, is available for activity staff to discuss recreational programmes and provides education for activity staff twice a year.  Residents funded through the MOH disability contract have extra support to assist them to connect to the community.  Residents interviewed confirmed that they are assisted to access outside interests.  Residents were observed participating in activities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 monthly in seven of eight resident files reviewed.  One resident had not been at the service six months.  Written evaluations identified if the desired goals had been met or unmet.   The GP reviews the residents at least three monthly or earlier if required.  Short-term care plans reviewed had been evaluated at regular intervals, however care plans had not always been updated following a change in health status (link 1.3.5.2).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Residents and/or their family/whānau are involved as appropriate when referral to another service occurs.  Registered nurses interviewed described the referral process should they require assistance.  Documentation reviewed included referrals to Diabetic nurse specialist, wound nurse specialist, mental health and hospital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all chemicals were stored safely.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Hot water temperatures are checked regularly.  Medical equipment and electrical appliances have been tested and tagged and calibrated.  Regular and reactive maintenance occurs.  The service is divided into eight wings named after NZ icons including well known military personnel.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space for residents to safely mobilise using mobility aids and communal areas are easily accessible.  There is safe access to the well maintained and landscaped outdoor areas.  Seating and shade is provided.  The facility has a designated resident smoking area away from the buildings.  Health care assistants interviewed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single rooms.  There are sufficient numbers of resident communal toilets in close proximity to resident rooms and communal areas.  Visitor toilet facilities are available.  Residents interviewed stated their privacy and dignity was maintained while attending to their personal cares and hygiene.  The communal toilets and showers are well signed and identifiable and include large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rooms are spacious enough to meet the assessed resident needs.  Residents are able to manoeuvre mobility aids around the bed and personal space.  All beds are of an appropriate height for the residents.  Health care assistants interviewed reported that rooms have sufficient space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large lounge with seating arranged to allow residents to mobilise freely and a conservatory adjacent to this.  There are smaller lounges for residents and families around the facility.  There is a large dining area for the residents.  All areas are easily accessible for the residents.  Residents interviewed report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Manufacturer’s data safety charts are available.  All linen and personal clothing is laundered on-site.  There is a well-equipped laundry with a defined clean/dirty area where all linen and personal clothing is laundered by designated laundry staff.  The effectiveness of the cleaning and laundry processes are monitored through internal audits, resident meetings and surveys.  There are dedicated cleaners to carry out cleaning duties throughout Rannerdale.  Cleaning trolleys are stored safely when not in use.  Residents and relatives interviewed were satisfied with the laundry service and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emergency/disaster procedures manual in place.  There is a recently approved updated fire evacuation scheme.  There is a staff member with a current first aid certificate on duty 24/7.  Fire safety training has been provided.  Fire evacuation drills have been conducted six monthly with the last fire drill occurring on 30 January 2018.  Civil defence, first aid and pandemic/outbreak supplies are available and are checked on a regular basis.  Sufficient water is stored for emergency use and alternative heating and cooking facilities (three BBQ and gas bottles) are available.  There is a generator available if there is a power failure.  Emergency lighting is installed.  There is an effective call bell system in place.  Visitors and contractors sign in at reception when visiting.  Security checks are conducted each night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has an established infection control programme.  The infection control programme, its content and detail, is appropriate for the size, complexity and degree of risk associated with the service.  It is linked into the quality improvement system and the facilities results are benchmarked against the results of other organisations utilising the system, Monthly infection control reports are generated, and graphed results displayed on staff noticeboards.  The care coordinator is the designated infection control nurse.  The infection control team includes members of the management team and staff representatives from each department.  Minutes of the infection control and prevention committee meetings are available for staff.  Infection control and prevention audits have been conducted and include hand hygiene and infection control practices.  The results of infection control and prevention audits are reported to the ICP committee, the management team and staff through meetings and noticeboard communication.  ICP and Hand Hygiene Education is provided for all new staff on orientation.  The infection control annual programme review, last occurred in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coordinator at Rannerdale is the designated infection control (IC) coordinator.  There are adequate resources to implement the infection control programme for the size and complexity of the organisation.  The IC nurse and IC team has good external support from the local laboratory infection control team and the community infection prevention and control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There is a policy describing surveillance methodology for monitoring of infections.   Definitions of infections are in place, appropriate to the complexity of service provided.  The surveillance data is collected and analysed monthly to identify areas for improvement or corrective action requirements.  Trends are identified, and quality initiatives are discussed at staff meetings (minutes sighted).  Benchmarking occurs against similar facilities through Healthcare compliance solutions.  The GP reviews antibiotic use at least three monthly with the medication review.  Systems are in place that are appropriate to the size and complexity of the facility.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 and six residents using seven enablers (two bed rails and five lap belts).  Enabler use is voluntary.  Four resident files using enablers were reviewed, three of four had monitoring completed within the required timeframes (link 1.3.6.1).  The care coordinator is the restraint coordinator.  Staff training records evidence that guidance has been given on restraint minimisation and enabler usage.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81"/>
        <w:gridCol w:w="1280"/>
        <w:gridCol w:w="5516"/>
        <w:gridCol w:w="4291"/>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assessments to identify the care needs of the resident and use this information to inform the development of the care plan.  Not all care plan interventions for current assessed care needs were documented in the LTCPs in sufficient detail to guide the care staff.  Care plans were consistently reviewed with health changes and routine evaluations and the changes were documented in the evaluation section, however care plans were not always updated.  There was evidence of the use of short-term care plans, and these were signed out or added to the long-term care plan evaluation section, if not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Shortfalls were identified around care plan interventions in six of the nine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did not have dietitian instructions updated in the care plan regarding nutritional supplements and monitoring of food and fluid.  However, staff were implementing the nutritional supplements and weekly food and fluid monitoring had been commenced as per dietitian instructions, the same resident had changes in health status around continence, mobility and activities of daily which were documented in the evaluation section but interventions in the care plan not updated.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rest home level care resident did not have care plan interventions documented or documented in sufficient detail, to guide the care staff in the management of chest pain, behaviour and reporting of speech language therapy monitoring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ACC respite resident on warfarin did not have associated risks documented.  The same resident had made significant improvement in mobility and communication, but the care plan had not been updated.  Turning charts were evident, but care plan evaluations stated these had been discontinued.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Two Insulin dependent hospital residents’ care plans (including the YPD resident) had no information around acceptable BGL ranges and recognition and treatment of hypoglycaemia and/or hyperglycaemia.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The interventions for one hospital resident with marked improvement in mobility and nutritional status had not been updated in the care plan but were documented in the evaluation.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(i)-(v)Ensure that care plan interventions reflect the resident’s current need and that there is sufficient detail to guide care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Required monitoring is documented in care plans but evidence of implementation was not consistent.  Short-term care plans are completed.  Residents on enablers include all required assessments, however monitoring was not always completed as per care plan instructions.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using bed rails as an enabler required two hourly monitoring did not evidence this was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monitoring of enablers is documented as occurring as directed.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409"/>
        <w:gridCol w:w="73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in association with management have established several groups to meet specific resident needs, which were previously not addressed in the activities programme.  These groups include a pilot programme for residents with post-traumatic stress disorder where residents are encouraged to initiate and explore art therapy, a well-being group, a creativity group and a lunch club.  Each of these groups has been implemented to meet specific identified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late 2016/early 2017, the activities team rearranged the activities programme from a 'one size fits all' to include smaller groups that meet the needs of specific groups of residents.  As there are a significant number of war veterans in the home, the activities team in association with management, decided to pilot a closed art therapy group for residents with post traumatic stress disorder (PTSD).  The pilot has now finished, and results include increased social engagement and cohesiveness within the group and a noticeable improvement in mood levels.  The group have decided to continue meeting and supporting each other.  The evaluation of this pilot programme has positive implications for the larger scale implementation of arts therapy for veterans and other residential care communities with a prevalence of PTSD in NZ.  Additional small groups that have resulted in increased satisfaction and a sense of better use of existing skills of residents have included a well-being group, a Friday lunch club and a creativity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combined implementation of the each of the above groups has impacted positively on residents lives and evidenced in resident discussions, meeting minutes and the latest survey results.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Rannerdale War Veterans Home Limited - Rannerdale War Veterans' Hospital and Home</w:t>
    </w:r>
    <w:bookmarkEnd w:id="58"/>
    <w:r>
      <w:rPr>
        <w:rFonts w:cs="Arial"/>
        <w:sz w:val="16"/>
        <w:szCs w:val="20"/>
      </w:rPr>
      <w:tab/>
      <w:t xml:space="preserve">Date of Audit: </w:t>
    </w:r>
    <w:bookmarkStart w:id="59" w:name="AuditStartDate1"/>
    <w:r>
      <w:rPr>
        <w:rFonts w:cs="Arial"/>
        <w:sz w:val="16"/>
        <w:szCs w:val="20"/>
      </w:rPr>
      <w:t>2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