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Pinehaven Cottage Limited - Pinehaven Cottage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Pinehaven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Pinehaven Cottage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June 2018</w:t>
      </w:r>
      <w:bookmarkEnd w:id="7"/>
      <w:r w:rsidRPr="009418D4">
        <w:rPr>
          <w:rFonts w:cs="Arial"/>
        </w:rPr>
        <w:tab/>
        <w:t xml:space="preserve">End date: </w:t>
      </w:r>
      <w:bookmarkStart w:id="8" w:name="AuditEndDate"/>
      <w:r w:rsidR="00A4268A">
        <w:rPr>
          <w:rFonts w:cs="Arial"/>
        </w:rPr>
        <w:t>13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Reconfiguration of services by the conversion of five rest home beds into the dementia unit. This will increase the dementia unit by five beds from 17 to 22 beds and decrease the rest home rom 17 beds to 12 beds. The secure entrance to the dementia unit will be moved to accommodate this change in stages as rooms become available.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Pinehaven Cottage provides rest home and secure dementia care for up to 34 residents. The service is operated by four owner/directors who are experienced in the aged care industry. Two owner/directors work full time at the facility and share management responsibilities. A registered nurse oversees the clinical services management. Residents and families spoke positively about the care provided.</w:t>
      </w:r>
    </w:p>
    <w:p w:rsidRPr="00A4268A">
      <w:pPr>
        <w:spacing w:before="240" w:line="276" w:lineRule="auto"/>
        <w:rPr>
          <w:rFonts w:eastAsia="Calibri"/>
        </w:rPr>
      </w:pPr>
      <w:r w:rsidRPr="00A4268A">
        <w:rPr>
          <w:rFonts w:eastAsia="Calibri"/>
        </w:rPr>
        <w:t xml:space="preserve">The service is increasing the number of secure care beds (dementia) from 17 to 22 beds and decreasing the number of rest home beds from 17 to 12. These changes are occurring in stages. At the time of audit, stage one was complete with 18 secure beds available, with 17 occupied. Available rest home level care beds were 16, with 15 occupied. The overall number of beds available remains at 34. The changes to date have not impacted on services. The owner/directors have documented how changes will be managed and their preparedness is evident. Staff confirmed they are kept fully informed and that there has been no impact on their workloads.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identified an area requiring improvement relating to overdue interRAI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mission statement, vision and philosophy of the organisation.  Monitoring of the services provide the governing body the ability to identify any shortfalls. Experienced and suitably qualified persons manage the facility.  The two owner/directors who work at the facility full time are both occupational therapists with one maintaining current registration.</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biomedical equipment is tested as required. Communal and individual spaces are maintained at a comfortable temperature. External areas are accessible, safe and provide shade and seating for both the rest home and secure unit residents.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both onsite for personal clothing and offsite for larger linen items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or restraints were in use at the time of audit.  Policy contains appropriate assessment, approval and monitoring processes and show that regular reviews are required should restraint be put in place. Policy identifies enablers as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2"/>
        <w:gridCol w:w="1280"/>
        <w:gridCol w:w="99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Pinehaven Cottage (the Cottage)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for residents as relevant, in the residents’ records.   Residents whom reside in the secure home (dementia unit) had EPOA enacted documents sighted in files reviewed.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information about the Code in the admission agreement,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There is a main lounge with access to the outside courtyard and two smaller lounges in the secure home. There is one large lounge with fireplace, dining room and access to an outside courtyard in the rest home.  Lounge chairs are arranged in these areas to support residents and families with privacy and comfort catering for small and larger groups when visiting other than in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Forms are on display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owner/directors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discussions with staff.   The Code is displayed in the main entrance to the Cottage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they/their relative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and participation in clubs and helping in day to day chores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registered nurse interviewed reported that there is one resident who affiliates with their Maori culture. There are no barriers in supporting residents who are admitted to the facility who identify as Māori.  There is no specific current Māori health plan, however there is an initial Maori health assessment that acknowledges all values and beliefs with the support of the Te Whare Tapa Wha model.  Information obtained from the assessment was sighted and integrated into the resident’s long-term care plans which included the resident’s values and beliefs around food and fluids, sleep and rest, spiritual and cultural support, communication, hygiene, grooming, oral hygiene, elimination, medical requirements, visiting of friends/whanau, death and dying.  There is input from a cultural adviser/kaumatua within the local community who visits the resident monthly.  Guidance on tikanga best practice is available and is supported by staff who identify as Māori in the facility.  The resident was not available for interview, however a whanau member interviewed stated that they were very happy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gerontology and wound care nurse specialists, psychogeriatrician,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day to day discussions between staff, residents, family and visitors and the knocking on residents’ doors before staff entered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There was one resident with a significant sensory loss and relevant equipment and resources were in place, for example, staff assist the resident with mobility and activities of daily life all the while providing opportunities to support and encourage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drive the services provided, are reviewed annually, outline the mission statement, vision and philosophy of the organisation, and identify the goals and objectives. The documents describe annual and longer-term objectives and the associated operational plans. A sample of monthly documented reports completed by the owner/directors showed adequate information to monitor performance. Information included occupancy, quality data, staffing,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two of the owner/directors who have owned the facility since 2014. Both are trained occupational therapists and one holds a current practising certificate. Clinical care is overseen by a registered nurse who has many years’ experience in aged care and has worked at the facility since 2016. All before mentioned staff hold relevant qualifications. Responsibilities and accountabilities are defined in job descriptions and individual employment agreements.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owner/directors confirmed their knowledge of the sector, regulatory and reporting requirements and maintain currency through attendance at aged care conferences and education, Waitemata District Health Board (WDHB) outreach meetings for age care providers (monthly), and support a close working relationship with local organisations, such as the hospice and  Age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WDHB for up to 34 rest home and secure dementia care including respite residents. There were 32 residents at the facility on the days of audit. Thirty-one residents were receiving services under the Age Related Residential Care contract and one resident is under the Long Term Chronic Care contact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there are four owner/directors they ensure that they are never on leave at the same time. One owner/director is always available to carry out management duties. During absences of key clinical staff, the clinical management is overseen by a casual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wound care, pressure injuries, falls and behaviour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continuous quality improvement meetings, general staff meetings, and clinical staff meetings. Staff reported their involvement in quality and risk management activities through audit activities, implementing corrective actions and being actively involved in decision making for any changes to services offered.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(April 2018) showed that the responses have been analysed and follow up actions have been undertaken where possible. Examples sighted related to, laundry where one resident felt that clothing stain removal was poor. This has been discussed with caregivers to make them more vigilant regarding personal laundry. One resident was not happy with the food service and stated they were getting food they did not like. Management and kitchen staff interviews and documentation sighted identified that all resident likes and dislikes are catered for. Some residents were not satisfied with the destination of outings. Meeting minutes sighted show that there has been a restructure to the activities plan to help improve outings and to also better capture weekly activity data. Issues raised in the resident satisfaction survey related to medical services are to be addressed in a meeting which is being held with the GP and management later in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owner/directors described the processes for the identification, monitoring, review and reporting of risks and development of mitigation strategies. One example related to a fire exit gate not releasing automatically when the fire alarm was activated. Staff were immediately notified, and an approved fire equipment provider rectified this promptly. One owner/director has undertaken health and safety training and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and analysed by the owner/directors. Information is shared at staff meetings and follow up action outcomes are discussed. For example, the analysis of incidents identified that staff were not always undertaking neuro-observations following unwitnessed falls. Staff education has occurred and there is a reminder in the staff communication book for this to occur. Another corrective action related to staff not always using the ‘chair raiser’ to assist a resident who has fallen to get up. All staff interviewed are aware of this and confirmed they have read and understand the ‘no lift’ policy.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owner/directors described essential notification reporting requirements, including for pressure injuries.  They advised there had been one level three pressure injury in 2017 which was non-facility acquired, which they did not report; however, the owner/directors confirmed their awareness of this requirement now. A section 31 report was filed with the Ministry of Health in November 2017 related to a resident who absconded. All appropriate actions are recorded including police and family notification.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issues-based audits and any other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biannual basis, including mandatory training requirements. Care staff have either completed or commenced a New Zealand Qualification Authority education programme to meet the requirements of the provider’s agreement with the DHB. One owner/director is the internal assessor for the programme.  Staff working in the dementia care area have either completed or are enrolled in the required education. There is one registered nurse trained who maintains their annual competency requirements to undertake interRAI assessments. Records reviewed demonstrated completion of the required training and completion of annual performance appraisals. (Refer comments in criterion 1.3.3.3). The administrator has management access only for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The service uses the interRAI acuity data reports to ensure staffing ratios meet the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 registered nurse works five days a week and an enrolled nurse works five days a week which includes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change to the configuration of services, an additional caregiver has commenced a 5 pm to 9 pm shift. Management confirmed they will increase these hours once all the changes to 22 dementia care beds is completed. There will be no increase in total bed numbers, but management recognise that an increase in staffing hours will assist in keeping all resident centred care services at an optimal level of care. The owner/directors are aware that dedicated staff must be available and in the secure unit (dementia care) at all times. </w:t>
            </w:r>
          </w:p>
          <w:p w:rsidR="00EB7645" w:rsidRPr="00BE00C7" w:rsidP="00BE00C7">
            <w:pPr>
              <w:pStyle w:val="OutcomeDescription"/>
              <w:spacing w:before="120" w:after="120"/>
              <w:rPr>
                <w:rFonts w:cs="Arial"/>
                <w:b w:val="0"/>
                <w:lang w:eastAsia="en-NZ"/>
              </w:rPr>
            </w:pPr>
            <w:r w:rsidRPr="00BE00C7">
              <w:rPr>
                <w:rFonts w:cs="Arial"/>
                <w:b w:val="0"/>
                <w:lang w:eastAsia="en-NZ"/>
              </w:rPr>
              <w:t>Activities occur seven days a week, kitchen staff work 8.30am to 2pm and 4pm to 6pm seven days a week, and a dedicated cleaner works 8 am to 2 pm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Owner/directors are on site six days a week and on call 24 hours, seven days a week. The administrator works four days a week 8.30 am to 4.30 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Admission agreements showed EPOA had consented for the residents to be admitted to the secure home (dementia unit).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evidence of the supporting documents provided when the resident was transferred and communication that occurred between the facility and family.   Family of the resident interviewed stated that they had been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when the cottage had controlled drugs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three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 registration certificate was issued with an A grade identifying a 98 % mark and expires 6 April 2019.   Food temperatures, including for high risk items, are monitored appropriately and recorded as part of the plan. The cook has undertaken a safe food handling qualification, with kitchen assistants/care staff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as a means to identify any deficits and to inform care planning. The sample of care plans reviewed had an integrated range of resident-related information.  InterRAI assessments are completed by only one registered nurse trained interRAI assessor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completed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Care plans specific to support residents with challenging behaviours including triggers and interventions for behaviours over a 24 hour period were sighed for residents residing in the secure unit (dementia unit).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activities co-ordinators and overseen by an occupational therapist.  The activities co-ordinators support the residents Monday to Sunday from 11 am to 5.30 pm and meet with the occupational therapist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by the occupational therapist, who is also the owner/director of the Cottage,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home (dementia unit) are specific to the needs and abilities of the people living there. Activities are offered at times when residents are most physically active and/or restless.  This includes day to day discussions and reminiscing, supported walks, craft and day to day household chores of the residents choosing.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however not all interRAI assessments were up to date (see criterion 1.3.3.3).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physiotherapy, mental health services for the older adult, a wound clinical nurse specialist and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Relevant training is undertaken for staff who handle chemicals.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May 2019) is publicly displayed. All work being undertaken is internal and does not change the building footprint.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staged changes to the rest home and secure unit area have commenced. Currently there are two additional bedrooms forming part of the secure unit and two less rest home level care bedrooms. Going forward the service intends to remodel the laundry and moved so it remains in the rest home area. Three bedrooms which are now rest home level care will become part of the secure unit. When work is completed the service will have a total of 22 secure beds and 12 rest home level care beds. The ongoing changes will occur as soon as this is financially viable. The owner/directors are aware that all building and fire requirements are to be met during and following the remodelling of the area. The remodelling will not change the current total number of bedrooms, which will remain at 34. No additional equipment is required for the reconfiguration of services as all residents are deemed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 medical equipment is current as confirmed in documentation reviewed, interviews with the owner/directors and observation of the environment.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Residents have access to internal outdoor courtyards (separate courtyards for rest home and the secure unit residents). There are shaded outdoor areas with appropriate seating.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very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one bedroom with full ensuite facilities and two bedrooms with toilet only ensuites. Toilet and bathroom areas in the rest home are being renovated to a good standard. The secure unit is a recent addition with modern facilities. Appropriately secured and approved handrails are provided in the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The bedroom doors are single opening which is adequate for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in both the rest home and the secure unit are spacious and enable easy access for residents and staff.  Residents can access areas for privacy, if required.  There is a quiet lounge/library area in the secure unit and a kitchenette from which tea and coffee can be obtained and snack food is kept in the fridge. Furniture is appropriate to the setting and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 dining and lounge areas in the secure unit are large enough to cater for up to 22 residents. The reconfiguration of services does not affect the dinging or lounge areas of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in a dedicated laundry on site for residents personal clothing only. This is part of the caregivers’ daily schedule. All bedlinen and larger items of laundry are sent off site to a commercial laundry. Care staff demonstrated a sound knowledge of the laundry processes, dirty/clean flow and handling of soiled linen. Residents interviewed reported the laundry is managed well and their clothes are returned in a timely manner. One resident identified laundry as an issue in the resident survey and this has been addressed by the service. Refer comments in Standard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This includes the secure unit. The current fire evacuation plan was approved by the New Zealand Fire Service on the 24 August 2016 when the new secure unit was built. The owner/directors confirm their knowledge and understanding of ensuring they meet all fire service requirements as part of the reconfiguration. A trial evacuation takes place six-monthly with a copy sent to the New Zealand Fire Service, the most recent being on 13 April 2018; no follow up was required.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34 residents. A water storage tank which holds 900 litres of water is located on the grounds and maintenance of water purity is the role of one of the owner/directors. There is a petrol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Residents and families reported staff respond promptly to call bells. The call bell system is monitored by an off-site provider and can also be used as a nurse alert system for residents who are at high risk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The secure unit has internal secure outdoor areas. Doors and windows are locked at a predetermined time and checked as part of afternoon staff duties. Staff confirmed during interview that if they have any concerns they would dial 111.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in the secure unit is electric underfloor central heating and in the rest home it is electric wall heaters and a wood burner in the main lounge area.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infections to residents, staff and visitors.  The programme is guided by a comprehensive and current infection control manual, with input from the GP and gerontology clinical nurse specialist.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enrolled nurse share the role of designated IPC coordinator, whose role and responsibilities are defined in a job description. Infection control matters, including surveillance results, are reported monthly to the director/owners and tabled at the quality/risk committee meeting.  This committee includes a director-owner, IPC coordinators, and representatives from activities, food services and household management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coordinators have appropriate skills, knowledge and qualifications for the role, and have both been in this role since April 2018.  They have both undertaken a training in infection prevention and control and attend relevant study days, as verified in training records sighted.  Additional support and information is accessed from the infection control team at the DHB, the community laboratory, the GP and public health unit, as required.  The IPC coordinators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coordinators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are due to be reviewed in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coordinators.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there was a gastroenteritis outbreak in October 2017.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gastroenteritis and other infections.  The IPC coordinator/registered nurse and enrolled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shift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Cottage has had a total of 16 infections since October 2017.  One resident has been identified with five of those 16 infections due to co-morbidities.   The residents’ files reviewed highlighted short term and long-term care planning to reduce and minimise the risk of infection.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gastrointestinal infection outbreak in October was reviewed, where four residents and four staff were affected,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service currently has a restraint free environment which was confirmed in the restraint register and staff meeting minutes sighted. The restraint coordinator provides ongoing education to staff to ensure they maintain their knowledge should restraint be required. Staff demonstrated a sound understanding of the organisation’s policies, procedures and practice related to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clearly identifies that enablers would only be used if requested by residents and that they would be the least restrictive item to allow residents to remain safe. </w:t>
            </w:r>
          </w:p>
          <w:p w:rsidR="00EB7645" w:rsidRPr="00BE00C7" w:rsidP="00BE00C7">
            <w:pPr>
              <w:pStyle w:val="OutcomeDescription"/>
              <w:spacing w:before="120" w:after="120"/>
              <w:rPr>
                <w:rFonts w:cs="Arial"/>
                <w:b w:val="0"/>
                <w:lang w:eastAsia="en-NZ"/>
              </w:rPr>
            </w:pPr>
            <w:r w:rsidRPr="00BE00C7">
              <w:rPr>
                <w:rFonts w:cs="Arial"/>
                <w:b w:val="0"/>
                <w:lang w:eastAsia="en-NZ"/>
              </w:rPr>
              <w:t>Restraint would only be used as a last resort when all alternatives have been explored. This was evident from interviews with staff and the owner/directors.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residents who are assessed as requiring secure dementia care are in the secure unit.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6"/>
        <w:gridCol w:w="1280"/>
        <w:gridCol w:w="6364"/>
        <w:gridCol w:w="3200"/>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individual details and client specific initial care plans and long-term care plans.  Residents have an interRAI assessment completed by one trained interRAI assessor on site as the other interRAI trained registered nurse left the home in April 2018.  The owner/directors interviewed stated that they will explore the option and availability of a roving interRAI assessor to support the registered nurse to update the interRAI assessments.  Staff interviewed stated that they knew the residents very well and were able to identify and meet their needs.  Residents and families confirmed their involvement in the assessment processes. On the day of audit 15 residents did not have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interRAI assessments due in February, three residents with assessment due in March and five residents due in both April and May did not have an up to date interRAI assessment.  Two of the five residents with assessments due on the 4 April were in draft but had not been commenced until the 10 June 2018 and remained uncompleted.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have an up to date interRAI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Pinehaven Cottage Limited - Pinehaven Cottage</w:t>
    </w:r>
    <w:bookmarkEnd w:id="58"/>
    <w:r>
      <w:rPr>
        <w:rFonts w:cs="Arial"/>
        <w:sz w:val="16"/>
        <w:szCs w:val="20"/>
      </w:rPr>
      <w:tab/>
      <w:t xml:space="preserve">Date of Audit: </w:t>
    </w:r>
    <w:bookmarkStart w:id="59" w:name="AuditStartDate1"/>
    <w:r>
      <w:rPr>
        <w:rFonts w:cs="Arial"/>
        <w:sz w:val="16"/>
        <w:szCs w:val="20"/>
      </w:rPr>
      <w:t>12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