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Poneke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Poneke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May 2018</w:t>
      </w:r>
      <w:bookmarkEnd w:id="7"/>
      <w:r w:rsidRPr="009418D4">
        <w:rPr>
          <w:rFonts w:cs="Arial"/>
        </w:rPr>
        <w:tab/>
        <w:t xml:space="preserve">End date: </w:t>
      </w:r>
      <w:bookmarkStart w:id="8" w:name="AuditEndDate"/>
      <w:r w:rsidR="00A4268A">
        <w:rPr>
          <w:rFonts w:cs="Arial"/>
        </w:rPr>
        <w:t>29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Pōneke House provides dementia, rest home and hospital level care for up to 49 residents. The service is operated by the Ultimate Care Group Ltd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two continuous improvement ratings in adverse events and infection control. There are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an activities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four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organisation’s Clinical Advisory Panel or the infection control nurse at Capital &amp; Coast District Health Board (CCDHB).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1"/>
        <w:gridCol w:w="1280"/>
        <w:gridCol w:w="94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Pōneke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(July 2017),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ACP,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residents’ advocate, who visits weekly and attends residents’ meeting. The advocate was not onsite at the time of audit and unable to be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the service is responsive to enabling the younger residents to access community resources, family and friends.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and that actions taken, through to an agreed resolution, are documented and completed within the timeframes.  Action plans show any required follow up and improvements have been made where possible.  The facility manager (FM)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high regard for their dignity, privacy, sexuality, spirituality and choices. All families and residents interviewed made mention of the relaxed, happy, warm and friendly environment that was always welcoming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A room in the secure unit has been set aside and deemed a “sensory room”. This quiet room offers residents and families the opportunity to relax in a quiet space, with soft lighting and an essential oil diffuser.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Younger people in the service are assisted to maintain their personal gender, sexual, cultural, religious and spiritual identity.</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in Ultimate Care Pōneke House at the time of audit who identify as Māori, and interviews verified staff can support residents to integrate their cultural values and beliefs. The principles of the Treaty of Waitangi are incorporated into day to day practice, as is the importance of whānau to Māori residents.  There is a current Māori health plan developed with input from cultural advisers. Assistance to meet the needs of Māori residents is also able to be accessed from whānau care services at Capital and Coast District Health Board (CCDHB) or Mary Potter Hospice,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access to a range of training options, evidence based policies, input from external specialist services and allied health professionals, for example, hospice/palliative care team, diabetes nurse specialist, physiotherapist, wound care specialist, community dieticians, services for older people, psycho-geriatrician and mental health services for older persons, and a supportive organisational structure with good systems in place to guide monitor and minimise risk.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to access their own professional networks, such as on-line forums, to support contemporary good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(CSM) has received a certificate from the International Council of Nurses recognizing the work done in making a difference for patients. An initiative implemented at Ultimate Care Pōneke House, around advance care planning (ACP), focusses on educating staff, residents and families, to provide them with the skills and knowledge to plan when considering the future needs/wishes of each resident. Staff education focusses on enabling staff to be alert to cues, that could indicate a family’s readiness for discussion with the RN. The initiative at present has enabled seven families, whose family members could not themselves make their wishes known, consider possible requests and put a “ceiling of care” in place for their family members. This has enabled clear guidance and direction on the focus of care for these residents. The goal at Ultimate Care Pōneke House is “to give all residents or family the opportunity to have a discussion around ACP”. An evaluation of the initiative has not yet been undertaken at the time of audit, as the process has not yet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(refer criterion 1.2.4.3), evidence of practice that enables residents admitted with pressure injuries to have those injuries resolved, absence of any pressure injuries despite several high-risk residents, and residents high level of satisfaction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Language Line when required. Staff knew how to do so and brochures on the service were easily accessible. Staff reported interpreter services were rarely required due to all present residents requiring interpreter assistance having family members who could help. </w:t>
            </w:r>
          </w:p>
          <w:p w:rsidR="00EB7645" w:rsidRPr="00BE00C7" w:rsidP="00BE00C7">
            <w:pPr>
              <w:pStyle w:val="OutcomeDescription"/>
              <w:spacing w:before="120" w:after="120"/>
              <w:rPr>
                <w:rFonts w:cs="Arial"/>
                <w:b w:val="0"/>
                <w:lang w:eastAsia="en-NZ"/>
              </w:rPr>
            </w:pPr>
            <w:r w:rsidRPr="00BE00C7">
              <w:rPr>
                <w:rFonts w:cs="Arial"/>
                <w:b w:val="0"/>
                <w:lang w:eastAsia="en-NZ"/>
              </w:rPr>
              <w:t>The language and communication needs of younger residents was addressed. One resident used sign language as a communication tool, while another used an electronic medium to access movies in the desired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to the board of directors showed adequate information to monitor performance is reported including occupancy, staffing,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(FM) who holds relevant qualifications and has been in the role for over three years. Responsibilities and accountabilities are defined in a job description and individual employment agreement.  The FM confirms knowledge of the sector, regulatory and reporting requirements and maintains currency through Ultimate Care Group management forums, NZNO, Age-Related Residential Care (ARRC) and NZ Aged Care Association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Ministry of Health (MoH) for younger persons with a disability (YPD), respite, complex medical conditions, rest home and dementia care. Thirty-nine residents were receiving services under the contract (ten hospital, including two YPD residents, twenty-one rest home residents and eight residents in the dementia service)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FM is absent, the clinical services manager (CSM) carries out all the required duties under delegated authority. During absences of key clinical staff, the clinical management is overseen by a RN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restraint/enabler use.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quality team meetings and staff meetings. Staff reported their involvement in quality and risk management activities through audit activities, and feedback via meetings. Relevant corrective actions are developed and implemented to address any shortfalls. Resident and family satisfaction surveys are completed annually. The most recent survey showed only 25% satisfaction with the laundry. As a result, a fulltime laundry person has been employed and initial feedback at residents’ meetings show improvement in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support office via the electronic reporting system. Continuous improvement in relation to reducing residents’ falls was evident.</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They advised there has been one notification of a significant event made to the Ministry of Health, since the previous audit, this related to an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(electronic)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rosters confirmed adequate staff cover has been provided, with staff replaced in any unplanned absence. At least one staff member on duty has a current first aid certificate and there is 24 hour/seven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or the care service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Medicines were electronically signed off after being administered.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and is in line with recognised nutritional guidelines for older people. The menu follows summer and winter patterns and has been reviewed by a qualified dietitian within the last two years. Recommendations made at that time have been implemented. A food control plan is not in place at present as the service is going to use the national organisation’s template that has just been approved by Ministry of Primary Industries (MPI)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Decanted items have use by dates recorded on containers.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items at any time over the twenty-four hours, the main kitchen restocks the kitchenette in the unit every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Ultimate Care Pōneke House are initially assessed using a range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except for residents admitted within the last three weeks, are completed within three weeks of admission and at least six monthly unless the resident’s condition changes. Interviews, documentation and observation verified the RNs are familiar with requirements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one of six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reviewed in the secure unit, had behaviour management plans that included triggers and interventions for behaviours. Residents were observed to be well groomed, calm, and interactive with what was going on. Care plans of the younger residents are developed with the person, are person centred and includes assistance required to enable all aspects of the resident’s needs to be met to enhance the resident’s wellbeing. Interviews verified satisfaction with all aspects of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recreation officer who is completing the diversional therapy training with oversight from Careerforce and two other diversional therapists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exercises, movies, visiting entertainers, quiz sessions and daily news updates. The activities programme is discussed at the minuted residents’ meetings and indicated residents’ input is sought and responded to.</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residents in the service are assisted to access community events, home visits, music, movies and attend outings consistent with their interests. Others who prefer to remain in their room have items of interest supplied to them.</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 twenty-four-hour care plan in place, that identifies all aspects of residents’ activity interests to be addressed at any time.</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Chemical Handling Approved Handler Training (HSNO).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June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rooms with ensuites and built in vanities in most other rooms.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a designated staff member. Laundry staff demonstrated a sound knowledge of the laundry processes, dirty/clean flow and handling of soiled linen. Residents interviewed reported the laundry is managed well and their clothes are returned in a timely manner. (Refer 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have completed the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externally by the contracted chemical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13 July 1999.  A trial evacuation takes place six-monthly with a copy sent to the New Zealand Fire Service, the most recent being on 2 May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total number of residents. Water storage tanks are located around the complex, and there is a generator available off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 Heating is provided by ceiling or central heating in residents’ rooms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and manual are reviewed annually. A review of staff members not being immunised against the flu, identified an area requiring improvement. An initiative was implemented that is identified as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CSM is the designated infection control nurse, whose role and responsibilities are defined in a job description. Infection control matters, including surveillance results, are reported monthly to the CSM and tabled at the quality/risk meeting.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however has been in this role for only a short time and is being assisted by the CSM. The ICN has undertaken post graduate training in infection prevention and control and attended relevant study days, as verified in training records sighted. Well-established local networks with the infection control team at the CCDHB are available and expert advice from the organisations clinical advisory team.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and CSM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hotter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Incidents of infections at Ultimate Care Pōneke House are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(one resident used two – four restraints were in use) and one resident was using an enabler, which was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CSM, GP and RN,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CSM undertakes the initial assessment with the GP and RN’s involvement, and input from the resident’s family/whānau/EPOA. The CSM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(eg, the use of sensor mats,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GP, staff and families. A six-monthly internal audit that is carried out also informs these meetings. Any changes to policies, guidelines, education and processes are implemented if indicated. Data reviewed, minutes and interviews with the CSM confirmed that the use of restraint has been reduced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5"/>
        <w:gridCol w:w="1280"/>
        <w:gridCol w:w="7049"/>
        <w:gridCol w:w="36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that between March 2016 and February 2017 there were a total of 90 residents’ falls. Most of the falls occurred in resident’s rooms. Most of the residents were identified as being at risk of falls or frequent fallers.  The initial review introduced 1-2 hourly checks for at risk residents, however there was no significant change in the falls data.</w:t>
            </w:r>
          </w:p>
          <w:p w:rsidR="00EB7645" w:rsidRPr="00BE00C7" w:rsidP="00BE00C7">
            <w:pPr>
              <w:pStyle w:val="OutcomeDescription"/>
              <w:spacing w:before="120" w:after="120"/>
              <w:rPr>
                <w:rFonts w:cs="Arial"/>
                <w:b w:val="0"/>
                <w:lang w:eastAsia="en-NZ"/>
              </w:rPr>
            </w:pPr>
            <w:r w:rsidRPr="00BE00C7">
              <w:rPr>
                <w:rFonts w:cs="Arial"/>
                <w:b w:val="0"/>
                <w:lang w:eastAsia="en-NZ"/>
              </w:rPr>
              <w:t>A review by the clinical team was undertaken to include a more structured process of the “1-2 hourly check” that included:</w:t>
            </w:r>
          </w:p>
          <w:p w:rsidR="00EB7645" w:rsidRPr="00BE00C7" w:rsidP="00BE00C7">
            <w:pPr>
              <w:pStyle w:val="OutcomeDescription"/>
              <w:spacing w:before="120" w:after="120"/>
              <w:rPr>
                <w:rFonts w:cs="Arial"/>
                <w:b w:val="0"/>
                <w:lang w:eastAsia="en-NZ"/>
              </w:rPr>
            </w:pPr>
            <w:r w:rsidRPr="00BE00C7">
              <w:rPr>
                <w:rFonts w:cs="Arial"/>
                <w:b w:val="0"/>
                <w:lang w:eastAsia="en-NZ"/>
              </w:rPr>
              <w:t>•</w:t>
              <w:tab/>
              <w:t>Introduce 1 hourly intentional ‘rounding’ for identified residents at risk of falling.</w:t>
            </w:r>
          </w:p>
          <w:p w:rsidR="00EB7645" w:rsidRPr="00BE00C7" w:rsidP="00BE00C7">
            <w:pPr>
              <w:pStyle w:val="OutcomeDescription"/>
              <w:spacing w:before="120" w:after="120"/>
              <w:rPr>
                <w:rFonts w:cs="Arial"/>
                <w:b w:val="0"/>
                <w:lang w:eastAsia="en-NZ"/>
              </w:rPr>
            </w:pPr>
            <w:r w:rsidRPr="00BE00C7">
              <w:rPr>
                <w:rFonts w:cs="Arial"/>
                <w:b w:val="0"/>
                <w:lang w:eastAsia="en-NZ"/>
              </w:rPr>
              <w:t>•</w:t>
              <w:tab/>
              <w:t>At intentional rounds check environmental factors: call bell within reach; environment is clutter free; fluids within easy reach.</w:t>
            </w:r>
          </w:p>
          <w:p w:rsidR="00EB7645" w:rsidRPr="00BE00C7" w:rsidP="00BE00C7">
            <w:pPr>
              <w:pStyle w:val="OutcomeDescription"/>
              <w:spacing w:before="120" w:after="120"/>
              <w:rPr>
                <w:rFonts w:cs="Arial"/>
                <w:b w:val="0"/>
                <w:lang w:eastAsia="en-NZ"/>
              </w:rPr>
            </w:pPr>
            <w:r w:rsidRPr="00BE00C7">
              <w:rPr>
                <w:rFonts w:cs="Arial"/>
                <w:b w:val="0"/>
                <w:lang w:eastAsia="en-NZ"/>
              </w:rPr>
              <w:t>•</w:t>
              <w:tab/>
              <w:t>Check resident: pain and position, mobility aid close by, offer a drink and toileting.</w:t>
            </w:r>
          </w:p>
          <w:p w:rsidR="00EB7645" w:rsidRPr="00BE00C7" w:rsidP="00BE00C7">
            <w:pPr>
              <w:pStyle w:val="OutcomeDescription"/>
              <w:spacing w:before="120" w:after="120"/>
              <w:rPr>
                <w:rFonts w:cs="Arial"/>
                <w:b w:val="0"/>
                <w:lang w:eastAsia="en-NZ"/>
              </w:rPr>
            </w:pPr>
            <w:r w:rsidRPr="00BE00C7">
              <w:rPr>
                <w:rFonts w:cs="Arial"/>
                <w:b w:val="0"/>
                <w:lang w:eastAsia="en-NZ"/>
              </w:rPr>
              <w:t>•</w:t>
              <w:tab/>
              <w:t>Staff education on intentional ‘rounding’ undertaken.  Families and residents given information on intentional ‘rounding’.</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Signage in each identified resident’s room, and a form completed each time. </w:t>
            </w:r>
          </w:p>
          <w:p w:rsidR="00EB7645" w:rsidRPr="00BE00C7" w:rsidP="00BE00C7">
            <w:pPr>
              <w:pStyle w:val="OutcomeDescription"/>
              <w:spacing w:before="120" w:after="120"/>
              <w:rPr>
                <w:rFonts w:cs="Arial"/>
                <w:b w:val="0"/>
                <w:lang w:eastAsia="en-NZ"/>
              </w:rPr>
            </w:pPr>
            <w:r w:rsidRPr="00BE00C7">
              <w:rPr>
                <w:rFonts w:cs="Arial"/>
                <w:b w:val="0"/>
                <w:lang w:eastAsia="en-NZ"/>
              </w:rPr>
              <w:t>An evaluation of the process identified:</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 period from March 2017 to February 2018 showed a total of 51 falls (down from 90 in the previous year) </w:t>
            </w:r>
          </w:p>
          <w:p w:rsidR="00EB7645" w:rsidRPr="00BE00C7" w:rsidP="00BE00C7">
            <w:pPr>
              <w:pStyle w:val="OutcomeDescription"/>
              <w:spacing w:before="120" w:after="120"/>
              <w:rPr>
                <w:rFonts w:cs="Arial"/>
                <w:b w:val="0"/>
                <w:lang w:eastAsia="en-NZ"/>
              </w:rPr>
            </w:pPr>
            <w:r w:rsidRPr="00BE00C7">
              <w:rPr>
                <w:rFonts w:cs="Arial"/>
                <w:b w:val="0"/>
                <w:lang w:eastAsia="en-NZ"/>
              </w:rPr>
              <w:t>•</w:t>
              <w:tab/>
              <w:t>‘Frequent fallers’ were the most significant reduction in the falls data. An example: one resident who fell 10 times in the previous period, fell 4 times during the 12          month period. There were also less injuries as a result.</w:t>
            </w:r>
          </w:p>
          <w:p w:rsidR="00EB7645" w:rsidRPr="00BE00C7" w:rsidP="00BE00C7">
            <w:pPr>
              <w:pStyle w:val="OutcomeDescription"/>
              <w:spacing w:before="120" w:after="120"/>
              <w:rPr>
                <w:rFonts w:cs="Arial"/>
                <w:b w:val="0"/>
                <w:lang w:eastAsia="en-NZ"/>
              </w:rPr>
            </w:pPr>
            <w:r w:rsidRPr="00BE00C7">
              <w:rPr>
                <w:rFonts w:cs="Arial"/>
                <w:b w:val="0"/>
                <w:lang w:eastAsia="en-NZ"/>
              </w:rPr>
              <w:t>•</w:t>
              <w:tab/>
              <w:t>Families and resident feedback expressed appreciation that staff are available to attend to residents needs at very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Overall benefit to residents was reduced falls and less resident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in relation to reducing resident falls was evident.  A specific quality improvement project to reduce residents’ falls, particularly those identified at risk and frequent fallers, was implemented with intentional ‘rounding’. The evaluation and reviews of the strategies introduced have shown a significant reduction in residents’ falls over a 12-month period, and improved resident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3.1.9</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and/or consumers and visitors suffering from, or exposed to and susceptible to, infectious diseases should be prevented from exposing others while infectious.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Pōneke House is committed to providing an environment that minimises the risk of infection to residents, staff and visitors and an initiative to increase the update of the influenza vaccination programme by staff, was commenced early in 2018. The service provides free influenza vaccinations to staff, however there was very little interest in receiving the vaccination, with only 28% of staff receiving it in 2017.   Implementation of an education session was provided regarding the effects and benefits of receiving the influenza vaccination. Discussion identified several misconceptions amongst staff around the side effects of the vaccination, and these were addressed. The number of staff immunized in 2018 has increased from twelve to 48 – an increase to 41% of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number of staff receiving the flu injection has increased from 28% in 2017 to 41% in 2018 as a direct result of greater awareness and education around the influenza vaccine. This will assist in minimising the risk of exposure to other staff and residents of influenza.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Poneke House</w:t>
    </w:r>
    <w:bookmarkEnd w:id="58"/>
    <w:r>
      <w:rPr>
        <w:rFonts w:cs="Arial"/>
        <w:sz w:val="16"/>
        <w:szCs w:val="20"/>
      </w:rPr>
      <w:tab/>
      <w:t xml:space="preserve">Date of Audit: </w:t>
    </w:r>
    <w:bookmarkStart w:id="59" w:name="AuditStartDate1"/>
    <w:r>
      <w:rPr>
        <w:rFonts w:cs="Arial"/>
        <w:sz w:val="16"/>
        <w:szCs w:val="20"/>
      </w:rPr>
      <w:t>28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