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Tui House Limited - Tui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Tui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Tui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April 2018</w:t>
      </w:r>
      <w:bookmarkEnd w:id="7"/>
      <w:r w:rsidRPr="009418D4">
        <w:rPr>
          <w:rFonts w:cs="Arial"/>
        </w:rPr>
        <w:tab/>
        <w:t xml:space="preserve">End date: </w:t>
      </w:r>
      <w:bookmarkStart w:id="8" w:name="AuditEndDate"/>
      <w:r w:rsidR="00A4268A">
        <w:rPr>
          <w:rFonts w:cs="Arial"/>
        </w:rPr>
        <w:t>5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Tui House is an aged care residential facility and is one of three facilities privately owned and operated by Heritage Healthcare Limited. The owner/general manager (GM) is a registered nurse who is actively involved in the business. </w:t>
      </w:r>
    </w:p>
    <w:p w:rsidRPr="00A4268A">
      <w:pPr>
        <w:spacing w:before="240" w:line="276" w:lineRule="auto"/>
        <w:rPr>
          <w:rFonts w:eastAsia="Calibri"/>
        </w:rPr>
      </w:pPr>
      <w:r w:rsidRPr="00A4268A">
        <w:rPr>
          <w:rFonts w:eastAsia="Calibri"/>
        </w:rPr>
        <w:t xml:space="preserve">This certification audit has been undertaken to confirm compliance with the Health and Disability Services Standards and the provider’s contract with the district health board (DHB). The audit process included review of policies, procedures, residents and staff files, observations and interviews with residents, family/whanau, management, staff and the general practitioner (GP). </w:t>
      </w:r>
    </w:p>
    <w:p w:rsidRPr="00A4268A">
      <w:pPr>
        <w:spacing w:before="240" w:line="276" w:lineRule="auto"/>
        <w:rPr>
          <w:rFonts w:eastAsia="Calibri"/>
        </w:rPr>
      </w:pPr>
      <w:r w:rsidRPr="00A4268A">
        <w:rPr>
          <w:rFonts w:eastAsia="Calibri"/>
        </w:rPr>
        <w:t>There were three areas relating to natural light in each bedroom, call bells and  environmental safety identified for improvement during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informed of their rights and are treated respectfully. Their privacy, independence and personal safety is protected. Care and support is provided in a manner which recognises the residents' culture, values and beliefs. Maori residents are supported. Discrimination of any sort is not tolerated by management. Service delivery is based on good practice principles. </w:t>
      </w:r>
    </w:p>
    <w:p w:rsidRPr="00A4268A">
      <w:pPr>
        <w:spacing w:before="240" w:line="276" w:lineRule="auto"/>
        <w:rPr>
          <w:rFonts w:eastAsia="Calibri"/>
        </w:rPr>
      </w:pPr>
      <w:r w:rsidRPr="00A4268A">
        <w:rPr>
          <w:rFonts w:eastAsia="Calibri"/>
        </w:rPr>
        <w:t>Communication is open and resident choices are recorded and acted upon. Adequately documented processes are in place for informed consent. Residents and families are assisted and encouraged to formulate advanced directives. Advocacy information is available. Close links with families and the community are encouraged and supported. The complaints management system is readily accessible and managed in compliance with the Health and Disability Consumer Code of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Tui House strategic planning is undertaken by the GM with input from the members of senior management. The annual business plan and strategic goals reflect organisational planning outcomes. </w:t>
      </w:r>
    </w:p>
    <w:p w:rsidRPr="00A4268A">
      <w:pPr>
        <w:spacing w:before="240" w:line="276" w:lineRule="auto"/>
        <w:rPr>
          <w:rFonts w:eastAsia="Calibri"/>
        </w:rPr>
      </w:pPr>
      <w:r w:rsidRPr="00A4268A">
        <w:rPr>
          <w:rFonts w:eastAsia="Calibri"/>
        </w:rPr>
        <w:t xml:space="preserve">The owner/general  manager  has over 15 years’ experience in aged care having owned the two facilities for the last 10 years. She has completed training in aged care related management and clinical practice topics. </w:t>
      </w:r>
    </w:p>
    <w:p w:rsidRPr="00A4268A">
      <w:pPr>
        <w:spacing w:before="240" w:line="276" w:lineRule="auto"/>
        <w:rPr>
          <w:rFonts w:eastAsia="Calibri"/>
        </w:rPr>
      </w:pPr>
      <w:r w:rsidRPr="00A4268A">
        <w:rPr>
          <w:rFonts w:eastAsia="Calibri"/>
        </w:rPr>
        <w:t xml:space="preserve">The clinical manager has over six years’ experience in aged care including hospital and rest home and has Day to day operations are the responsibility of the facility manager.  The facility manager has 15 years’ experience in aged care work and has been in the role since 2008. </w:t>
      </w:r>
    </w:p>
    <w:p w:rsidRPr="00A4268A">
      <w:pPr>
        <w:spacing w:before="240" w:line="276" w:lineRule="auto"/>
        <w:rPr>
          <w:rFonts w:eastAsia="Calibri"/>
        </w:rPr>
      </w:pPr>
      <w:r w:rsidRPr="00A4268A">
        <w:rPr>
          <w:rFonts w:eastAsia="Calibri"/>
        </w:rPr>
        <w:t xml:space="preserve">There is a documented quality and risk management system that supports the provision of clinical care. Policies are reviewed by the management team at least two yearly. Clinical protocols reflect current good practice and policies meet legislative requirements. </w:t>
      </w:r>
    </w:p>
    <w:p w:rsidRPr="00A4268A">
      <w:pPr>
        <w:spacing w:before="240" w:line="276" w:lineRule="auto"/>
        <w:rPr>
          <w:rFonts w:eastAsia="Calibri"/>
        </w:rPr>
      </w:pPr>
      <w:r w:rsidRPr="00A4268A">
        <w:rPr>
          <w:rFonts w:eastAsia="Calibri"/>
        </w:rPr>
        <w:t xml:space="preserve">Quality and risk performance outcomes are reported and monitored by the organisation's senior management team. A program of internal audits is maintained. Corrective action planning is implemented to manage any areas of concern or deficits. Review of service delivery includes incidents/accidents, infections, complaints and trended data reports from the internal audit programme.  </w:t>
      </w:r>
    </w:p>
    <w:p w:rsidRPr="00A4268A">
      <w:pPr>
        <w:spacing w:before="240" w:line="276" w:lineRule="auto"/>
        <w:rPr>
          <w:rFonts w:eastAsia="Calibri"/>
        </w:rPr>
      </w:pPr>
      <w:r w:rsidRPr="00A4268A">
        <w:rPr>
          <w:rFonts w:eastAsia="Calibri"/>
        </w:rPr>
        <w:t xml:space="preserve">The adverse event reporting system identifies that staff comply with policy and staff document and report all adverse, unplanned or untoward events. A process to correct deficiencies and prevent recurrence is implemented. </w:t>
      </w:r>
    </w:p>
    <w:p w:rsidRPr="00A4268A">
      <w:pPr>
        <w:spacing w:before="240" w:line="276" w:lineRule="auto"/>
        <w:rPr>
          <w:rFonts w:eastAsia="Calibri"/>
        </w:rPr>
      </w:pPr>
      <w:r w:rsidRPr="00A4268A">
        <w:rPr>
          <w:rFonts w:eastAsia="Calibri"/>
        </w:rPr>
        <w:t xml:space="preserve">Human resources practices reflect current good practice and policies meet legislative requirements. Staffing numbers and allocation levels are appropriate to the layout of the facility in two separate wings plus 12 stand-alone units. The staffing skill mix is appropriate for the level of care and services required. Every shift is covered by at least one registered nurse and three care givers. At least one staff member on each shift has a current first aid certificate. There is a scheduled program of staff training, including a documented orientation program for all new staff, and on-going training and competency reviews for current staff. </w:t>
      </w:r>
    </w:p>
    <w:p w:rsidRPr="00A4268A">
      <w:pPr>
        <w:spacing w:before="240" w:line="276" w:lineRule="auto"/>
        <w:rPr>
          <w:rFonts w:eastAsia="Calibri"/>
        </w:rPr>
      </w:pPr>
      <w:r w:rsidRPr="00A4268A">
        <w:rPr>
          <w:rFonts w:eastAsia="Calibri"/>
        </w:rPr>
        <w:t xml:space="preserve">Review of residents’ records and residents’ and family/whānau interviews confirmed that the services provided meet residents’ needs.  </w:t>
      </w:r>
    </w:p>
    <w:p w:rsidRPr="00A4268A">
      <w:pPr>
        <w:spacing w:before="240" w:line="276" w:lineRule="auto"/>
        <w:rPr>
          <w:rFonts w:eastAsia="Calibri"/>
        </w:rPr>
      </w:pPr>
      <w:r w:rsidRPr="00A4268A">
        <w:rPr>
          <w:rFonts w:eastAsia="Calibri"/>
        </w:rPr>
        <w:t>Resident information is collected, recorded, maintained and stored in accord with the health records standards. Resident consent is obtained for retaining and sharing of information and confidentiality is maintained. Archived information is held insecurely stored.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files sampled showed they receive timely and appropriate services that safely meet their assessed needs and desired outcome/goals. Care plans are developed in consultation with relevant people including residents and family/whanau where appropriate.</w:t>
      </w:r>
    </w:p>
    <w:p w:rsidRPr="00A4268A" w:rsidP="00621629">
      <w:pPr>
        <w:spacing w:before="240" w:line="276" w:lineRule="auto"/>
        <w:rPr>
          <w:rFonts w:eastAsia="Calibri"/>
        </w:rPr>
      </w:pPr>
      <w:r w:rsidRPr="00A4268A">
        <w:rPr>
          <w:rFonts w:eastAsia="Calibri"/>
        </w:rPr>
        <w:t>Planned activities are appropriate to the needs, age and culture of the residents. Individual activities are provided either within group settings or  one on one basis. Residents and family/whanau interviewed confirmed their satisfaction with the programme in place.</w:t>
      </w:r>
    </w:p>
    <w:p w:rsidRPr="00A4268A" w:rsidP="00621629">
      <w:pPr>
        <w:spacing w:before="240" w:line="276" w:lineRule="auto"/>
        <w:rPr>
          <w:rFonts w:eastAsia="Calibri"/>
        </w:rPr>
      </w:pPr>
      <w:r w:rsidRPr="00A4268A">
        <w:rPr>
          <w:rFonts w:eastAsia="Calibri"/>
        </w:rPr>
        <w:t>An appropriate medicine management system is implemented. Policies and procedures sighted guide safe practice and identifies service providers’ responsibilities. All medication charts are reviewed by the general practitioner (GP) three monthly or as when necessary according to policy.</w:t>
      </w:r>
    </w:p>
    <w:p w:rsidRPr="00A4268A" w:rsidP="00621629">
      <w:pPr>
        <w:spacing w:before="240" w:line="276" w:lineRule="auto"/>
        <w:rPr>
          <w:rFonts w:eastAsia="Calibri"/>
        </w:rPr>
      </w:pPr>
      <w:r w:rsidRPr="00A4268A">
        <w:rPr>
          <w:rFonts w:eastAsia="Calibri"/>
        </w:rPr>
        <w:t>Meal services meet individual food, fluids and nutritional requirements of the residents. The menu has been reviewed by the registered dietitian as meeting nutritional guidelines for older people.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consists of two houses and twelve stand-alone units on the one campus. </w:t>
      </w:r>
    </w:p>
    <w:p w:rsidRPr="00A4268A">
      <w:pPr>
        <w:spacing w:before="240" w:line="276" w:lineRule="auto"/>
        <w:rPr>
          <w:rFonts w:eastAsia="Calibri"/>
        </w:rPr>
      </w:pPr>
      <w:r w:rsidRPr="00A4268A">
        <w:rPr>
          <w:rFonts w:eastAsia="Calibri"/>
        </w:rPr>
        <w:t xml:space="preserve">All rooms have either an individual or twin en-suite. Each house has its own recreational and dining facilities. An elevator provides easy access between floors in Tui House for staff and residents. Improvement is required to ensure that residents cannot access stairs without staff assistance. The buildings, fittings and furnishings are regularly maintained. Improvement is required to ensure that full safety balustrades are installed where full length windows do not open onto a deck.  </w:t>
      </w:r>
    </w:p>
    <w:p w:rsidRPr="00A4268A">
      <w:pPr>
        <w:spacing w:before="240" w:line="276" w:lineRule="auto"/>
        <w:rPr>
          <w:rFonts w:eastAsia="Calibri"/>
        </w:rPr>
      </w:pPr>
      <w:r w:rsidRPr="00A4268A">
        <w:rPr>
          <w:rFonts w:eastAsia="Calibri"/>
        </w:rPr>
        <w:t>There are safe processes for management of waste, emergencies and security. Improvement is required to ensure that call bells are installed in one bathroom and bedroom used by a resident and that bells remain within reach of residents when bedroom furniture is moved. Cleaning and laundry processes are effective and meet regulatory standards.  The atmosphere is light, airy and fresh. Improvement is required to ensure that one room used as a bedroom has a window that opens to outside light and air. Air conditioning / heating maintains temperatures at comfortable levels. The facility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restraint and five residents requesting the use of enablers at the time of the audit. Staff interviewed demonstrated a good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any risk of infection to residents, staff and visitors. The type of surveillance is appropriate to the size and complexity of the service. Infection data is collected, recorded, analysed and reported. Any recommendations to reduce the infection rates are discussed during staff meetings. All staff receive ongoing education on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75"/>
        <w:gridCol w:w="1280"/>
        <w:gridCol w:w="82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mission, vision, values and goals of the facility are consumer-centred and reflect the Code of Health and Disability Services Consumers’ Rights- the Code. Residents are informed about their rights on admission and residents and family interviews and observation on site indicated that care is provided in accord with consumer rights legislation. Review of staff training records indicated that all staff receive annual training in the application of the Code. Staff interviews confirmed that they understand their obligations under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defining the requirements for informed consent that comply with regulations, including those relating to advanced directives and powers of attorney. Review of residents’ files indicated that 43 of 66 residents have made an advanced directive. The required signed records of consent and power of attorney are maintained and acted upon.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that a detailed resident information pack is provided and explained on admission. Review of residents’ files indicated that specific information and explanations are given, and records maintained for sharing of resident information with other health care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and review of the admission information pack confirmed that pamphlets from the national advocacy service are included in the pack and explained by the clinical manager on admission. The pamphlets are also available in communal areas in the facility. Review of staff training records indicated that all staff receive annual training relating to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Open visiting hours are maintained, and family interaction is encouraged and supported. Information about family visiting is included in the resident information pack and clearly displayed at the entrance to the facility. Staff, residents’ and family interviews confirmed that residents may receive visitors at any time. Where residents share a room, other private areas are available to ensure privacy.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van with a wheelchair lift is provided to take residents on trips out into the community each week. Observation on site and residents’ and family interviews confirmed that residents’ outings with family are facilitated by the staff. The facility will arrange transport for residents who need to attend appointments at other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complaints process meets the requirements of Right 10 of the Code. Complaints information and forms are available in communal areas and a drop box is provided at the nurses’ station in each house. Review of sampled records indicated that the complaints process is implemented in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their right to complain and the process by which they may do this. They confirmed that they would feel comfortable raising any issues with the facility manager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that records the names; date; summary of complaint; actions taken and sign off when completed. The complaints sampled are addressed within time frames of the Code. The staff demonstrated knowledge of the complaint management process and what to do if a resident made a complaint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discusses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can also be held at the residents' meeting.  Residents interviewed confirmed their rights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rights to advocacy is confirmed in the resident handbook and advocacy service leaflets were available at the entrance to the service. If necessary, staff will read and explain information to residents as stated by staff interviewed. Information was also given to next of kin or enduring power of attorney (EPOA) to read and to be discussed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guidelines relating to maintaining the independence, privacy and dignity of the resident. Staff have received training in communication and interaction with older people. Resident interviews and observation confirmed that residents’ privacy and dignity is preserved. Privacy curtains are installed in shared bedrooms. Residents interviewed confirmed that they are treated with respect and supported to make their own decisions about their life. The environment is set up to enable residents to maintain as much physical independence as possible. Mobile phones are available for residents and they may also install a phone in their own room.</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interviews and review of residents’ files confirmed that individual values and preferences are identified on admission and incorporated into their individual care plan as far as possible. There are suitable processes defined for management of potential or actual abuse. Staff have received training in recognizing possible neglect or abuse.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Maori health plan and documented policies in place in relation to recognition of the Treaty of Waitangi, tikanga guidelines for staff and access to Maori and Pacific Island cultural advice and support staff. Maori staff members provide on-going support and advice to staff regarding tikanga. Staff interviews and training records confirmed that they receive annual training in cultural safety that includes caring for Maori and Pacific Island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Maori staff member runs a wananga group twice a week for residents. Residents are supported to attend a local citizens group and the local Mormon Maori church as they wish. Maori residents interviewed expressed satisfaction with the respect and support shown for their values and beliefs. Interaction with whanau and the local marae is supported by the staff. </w:t>
            </w:r>
          </w:p>
          <w:p w:rsidR="00EB7645" w:rsidRPr="00BE00C7" w:rsidP="00BE00C7">
            <w:pPr>
              <w:pStyle w:val="OutcomeDescription"/>
              <w:spacing w:before="120" w:after="120"/>
              <w:rPr>
                <w:rFonts w:cs="Arial"/>
                <w:b w:val="0"/>
                <w:lang w:eastAsia="en-NZ"/>
              </w:rPr>
            </w:pPr>
            <w:r w:rsidRPr="00BE00C7">
              <w:rPr>
                <w:rFonts w:cs="Arial"/>
                <w:b w:val="0"/>
                <w:lang w:eastAsia="en-NZ"/>
              </w:rPr>
              <w:t>A Maori resident interviewed confirmed that they are encouraged and supported to maintain links with their whanau and the local marae.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access to resources and documented procedures to ensure recognition of individual values and beliefs for residents is recognised. There are documented policies providing appropriate guidelines for staff in relation to responding to the needs, values, cultural and spiritual beliefs of residents. </w:t>
            </w:r>
          </w:p>
          <w:p w:rsidR="00EB7645" w:rsidRPr="00BE00C7" w:rsidP="00BE00C7">
            <w:pPr>
              <w:pStyle w:val="OutcomeDescription"/>
              <w:spacing w:before="120" w:after="120"/>
              <w:rPr>
                <w:rFonts w:cs="Arial"/>
                <w:b w:val="0"/>
                <w:lang w:eastAsia="en-NZ"/>
              </w:rPr>
            </w:pPr>
            <w:r w:rsidRPr="00BE00C7">
              <w:rPr>
                <w:rFonts w:cs="Arial"/>
                <w:b w:val="0"/>
                <w:lang w:eastAsia="en-NZ"/>
              </w:rPr>
              <w:t>Observation during the audit, interviews with residents and staff, and results of resident and family surveys confirmed that residents are treated with dignity and respect. Spiritual care from various denominations is available. Residents are supported to attend external church services as they wish. Resident interviews confirm there is an appropriate service delivery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against discrimination, harassment or coercion of any kind. There is a documented policy disallowing gifts to staff. Resident property is identified and respected. Staff training records indicate that all staff have received training in professional boundaries and the meaning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comply with relevant legislation and reference good practice sources.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the owner / general manager (RN) review all clinical protocols annually. Best practice is referenced where relevant. There is access to the internet and district health board clinical advisers are consulted as necessary. The facility belongs to the NZ Aged Care Association of NZ. The managers attend local meetings and receive regular updates on clinical practice and management related to aged care. Implementation is supervised by the clinical manager and team leaders. Review of residents’ records confirmed that clinical protocols are implemented in practice.</w:t>
            </w:r>
          </w:p>
          <w:p w:rsidR="00EB7645" w:rsidRPr="00BE00C7" w:rsidP="00BE00C7">
            <w:pPr>
              <w:pStyle w:val="OutcomeDescription"/>
              <w:spacing w:before="120" w:after="120"/>
              <w:rPr>
                <w:rFonts w:cs="Arial"/>
                <w:b w:val="0"/>
                <w:lang w:eastAsia="en-NZ"/>
              </w:rPr>
            </w:pPr>
            <w:r w:rsidRPr="00BE00C7">
              <w:rPr>
                <w:rFonts w:cs="Arial"/>
                <w:b w:val="0"/>
                <w:lang w:eastAsia="en-NZ"/>
              </w:rPr>
              <w:t>Review of monthly quality meeting minutes confirmed that clinical and management issues are regularly reviewed and strategies to improve standards are developed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that they feel information is provided in an open and frank manner. The incident forms reviewed indicated the family/whanau are appropriately informed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can communicate effectively in English. Eight languages are spoken by staff. The interpreter policy identifies how to access an interpreter if this is required, including sign language interpreters. All residents, family/whanau and staff interviewed reported effective communication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consists of two adjacent houses on one site: Tui House (30 beds) and Cecelia House (21 beds), plus 12 stand-alone units of 19 beds, a total of 70 beds. </w:t>
            </w:r>
          </w:p>
          <w:p w:rsidR="00EB7645" w:rsidRPr="00BE00C7" w:rsidP="00BE00C7">
            <w:pPr>
              <w:pStyle w:val="OutcomeDescription"/>
              <w:spacing w:before="120" w:after="120"/>
              <w:rPr>
                <w:rFonts w:cs="Arial"/>
                <w:b w:val="0"/>
                <w:lang w:eastAsia="en-NZ"/>
              </w:rPr>
            </w:pPr>
            <w:r w:rsidRPr="00BE00C7">
              <w:rPr>
                <w:rFonts w:cs="Arial"/>
                <w:b w:val="0"/>
                <w:lang w:eastAsia="en-NZ"/>
              </w:rPr>
              <w:t>Contracts are held for Aged Related Residential Care; LTSCHC; ACC; Residential Non-aged Care.</w:t>
            </w:r>
          </w:p>
          <w:p w:rsidR="00EB7645" w:rsidRPr="00BE00C7" w:rsidP="00BE00C7">
            <w:pPr>
              <w:pStyle w:val="OutcomeDescription"/>
              <w:spacing w:before="120" w:after="120"/>
              <w:rPr>
                <w:rFonts w:cs="Arial"/>
                <w:b w:val="0"/>
                <w:lang w:eastAsia="en-NZ"/>
              </w:rPr>
            </w:pPr>
            <w:r w:rsidRPr="00BE00C7">
              <w:rPr>
                <w:rFonts w:cs="Arial"/>
                <w:b w:val="0"/>
                <w:lang w:eastAsia="en-NZ"/>
              </w:rPr>
              <w:t>Forty three of the 70 residential care beds are suitable for either rest home or hospital level care (dual purpose). 66 beds were occupied during the audit, 21 residents requiring hospital level care and 45 requiring rest home level care. There are 8 clients under the age of 65, with 7 clients on the LTS-CHC contract and the remaining client on the residential non-aged care contract. Of these total 8 clients, 5 are in the rest home and 3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 general manager is a registered nurse who governs the organisation with input from a chartered accountant, a lawyer and an employment adviser.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management team consists of the owner/manager,  a facility manager and a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is undertaken annually by the owner / general manager with input from the members of senior management. The vision, mission, values and goals of the service are published in the residential information pack. The organization philosophy, strategic plan and 2017-2018 business plan reflect a person/family - centred approach,  are reviewed on an annual basis and monitored through monthly senior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 manager is a registered nurse (RN) with a current practicing certificate (sighted) who has managed the service for over 10 years and has previous experience as a clinical manager and registered nurse in aged care. The facility manager, previously a caregiver, has overall responsibility for the daily management of the care facility and has been in the current role for over six years. The clinical manager is a registered nurse who maintains professional development hours for nursing and management. Authority, accountability and responsibility are confirmed in the relevant position descriptions.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reported satisfaction with the care and service delivery. This is also supported through the satisfaction survey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overall management of the facility, meeting contractual requirements, staffing and operational matters.  The clinical manager is responsible for clinical management and standards and has completed an NZQA 8086 audit course and the InterRAI training. The clinical manager has been employed in the role since 2010. The facility manager deputises for the owner/general manager and the clinical manager deputises for the facility manager. Senior registered nurses deputise for the clinical manager.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documented quality and risk management system that supports the provision of clinical care and services. Documented policies are provided to guide clinical care, including implementation of the interRAI assessment system. The policies are formally reviewed by the management team at least three yearly with interim reviews as required by changing circumstances.  Clinical protocols reflect current good practice and policies meet legislative requirements. There is a documented risk management plan and processes to identify and eliminate or manage risks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performance data are collected monthly and collated by a quality manager. Outcomes are graphed and posted on the staff notice board. Results are monitored by the organisation's senior management team. A program of internal audits is maintained. Corrective action planning is implemented to manage any areas of concern or deficits. Review of service delivery includes incidents/accidents, infections, complaints and trended data reports from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meets weekly with the senior managers to review quality and risk outcomes. There is evidence that prompt action is taken to address any issues and reverse any negative trends.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reporting system identifies that staff comply with policy and staff document and report all adverse, unplanned or untoward events. A process to correct deficiencies and prevent recurrence is implemented. Incident forms record the actions taken and any communications with the resident/family. The senior management team review incident responses at their weekly meeting and monitor results to ensure remedial actions have been effective.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requirements for reporting events to external agencies. Notifications to the Ministry of Health were sighted by the auditors. Contact details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practices confirm to current legislation and work health and safety requirements. A register of staff qualifications and scope of practice including registration where required is maintained. Currency is verified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scheduled program of staff training, including a documented orientation program for all new staff, and on-going training and competency reviews for current staff. Seven of eight registered nurses and the clinical manager have completed interRAl training and interRAI assessments are maintained up to date. Competency verification requirements are clearly documented. Staff training records confirmed that they are implemented and up to date.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staffing plan. Staffing levels and allocation are appropriate to the layout of the facility in two separate wings plus twelve stand-alone units. The staffing skill mix is relevant for the level of care and services required. Every shift is covered by at least one registered nurse and three care givers. At least one staff member on each shift has a current first aid certificate. Cover for absence or for increased workloads is provided from part time staff. Bureau staff are not used. Review of resident records and residents and family/whānau interviews confirmed that staffing provided meets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 enters the resident’s details into the data system on admission and maintains it up to date. Residents’ names and information are not displayed where they can be seen by a casual observer. </w:t>
            </w:r>
          </w:p>
          <w:p w:rsidR="00EB7645" w:rsidRPr="00BE00C7" w:rsidP="00BE00C7">
            <w:pPr>
              <w:pStyle w:val="OutcomeDescription"/>
              <w:spacing w:before="120" w:after="120"/>
              <w:rPr>
                <w:rFonts w:cs="Arial"/>
                <w:b w:val="0"/>
                <w:lang w:eastAsia="en-NZ"/>
              </w:rPr>
            </w:pPr>
            <w:r w:rsidRPr="00BE00C7">
              <w:rPr>
                <w:rFonts w:cs="Arial"/>
                <w:b w:val="0"/>
                <w:lang w:eastAsia="en-NZ"/>
              </w:rPr>
              <w:t>Residents’ health and personal information is collected, recorded, maintained and stored in accord with the health records standards. The resident’s name, date of birth and hospital number are used to uniquely identify each resident’s record. Residents’ clinical information is held in one file plus a medication record. Information is legible and signed by the service provider.</w:t>
            </w:r>
          </w:p>
          <w:p w:rsidR="00EB7645" w:rsidRPr="00BE00C7" w:rsidP="00BE00C7">
            <w:pPr>
              <w:pStyle w:val="OutcomeDescription"/>
              <w:spacing w:before="120" w:after="120"/>
              <w:rPr>
                <w:rFonts w:cs="Arial"/>
                <w:b w:val="0"/>
                <w:lang w:eastAsia="en-NZ"/>
              </w:rPr>
            </w:pPr>
            <w:r w:rsidRPr="00BE00C7">
              <w:rPr>
                <w:rFonts w:cs="Arial"/>
                <w:b w:val="0"/>
                <w:lang w:eastAsia="en-NZ"/>
              </w:rPr>
              <w:t>Resident consent is obtained for retaining and sharing of information and confidentiality is maintained. Archived information is held in locked cabinets and retained for at least seven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A pre-entry assessment form is completed, and Tui House’s welcome pack contains all the information about entry to the service. Assessments and entry screening processes are documented and clearly communicated to the resident and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signed on entry. The admission agreement clearly outlines services provided as part of the agreement to entry. Relatives/whanau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and a community geriatric service referral form are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implemented to ensure that residents receive medicines in a secure, safe and timely manner. Medication charts sampled complied with current legislation, protocols and guidelines. Medications are stored in a safe and secure way in the locked drug trolley and cupboards. Medication reconciliation is conducted by the RNs when the residents are transferred back to service. The service uses a pre-packaged medication system. All medications are reviewed every three months and as required by the GP. Allergies are clearly indicated, and photos taken for easy identification.</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current and weekly and six-monthly stock takes are completed and all medications are stored appropriately. There were no expired medications that needed to be returned to the pharmacy.</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RNs were observed administering medication correctly in the two respective wings.</w:t>
            </w:r>
          </w:p>
          <w:p w:rsidR="00EB7645" w:rsidRPr="00BE00C7" w:rsidP="00BE00C7">
            <w:pPr>
              <w:pStyle w:val="OutcomeDescription"/>
              <w:spacing w:before="120" w:after="120"/>
              <w:rPr>
                <w:rFonts w:cs="Arial"/>
                <w:b w:val="0"/>
                <w:lang w:eastAsia="en-NZ"/>
              </w:rPr>
            </w:pPr>
            <w:r w:rsidRPr="00BE00C7">
              <w:rPr>
                <w:rFonts w:cs="Arial"/>
                <w:b w:val="0"/>
                <w:lang w:eastAsia="en-NZ"/>
              </w:rPr>
              <w:t>There were residents self-administering medication at the time of the audit and are assessed as competent. Medication records were sighted. Medications are stored in lockable drawers and containers. There is a policy and procedure for self-administration of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in the two houses and served in the respective dining areas. The menu has been reviewed by a dietitian. The kitchen staff have current food handling certificates. Diets are modified as required and the cook confirmed awareness on dietary needs of the residents. The residents have a nutritional profile developed on admission which identifies dietary requirements, likes and dislikes. The resident’s weight is monitored regularly,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on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reported that whenever a consumer is declined entry, family/whanau are informed of the reason for this and other options or alternative services available and this is recorded on the pre-entry assessment form. The consumer is referred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assessments are completed within three weeks of admission as required. Assessments and care plans are detailed and include input from the family/whanau and other health team members as appropriate. The nursing staff utilise standardised risk assessment tools on admission. In interviews conducted the resident and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problem/short term care plans for acute needs. Goals are specific and measurable, and interventions are detailed to address the desired goals/outcomes identified during the assessment process. Care plans sampled are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problem/short term care plans and long- term care plans are adequate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Adequate clinical supplies were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The activities programme covers physical, social, recreational, emotional and cultural needs of the residents. The activities coordinator reported that they modify activities based on the residents’ responses and interests and according to the capability and cognitive abilities of the residents. The activities coordinator is a trained early childhood educator who overseas activities on both sites with the help of the other activity member who has a background in social work. The workload is divided between the coordinators for residents under and over 65 years of age.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runs from Monday to Friday with weekends reserved for family/whanau visits, outings, church services, movies and other community events like rugby and social gatherings. The under 65 years also engage in offsite courses of interest.</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and community organisations providing activities at the service.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and activity plans are evaluated in a comprehensive and timely manner. Reviews are fully documented and include current resident’s status, any changes and achievements towards goals. Resident/family/whanau and staff input is obtained in all aspects of care and care plans are reviewed/evaluated accordingly. Problem/short term care plans are developed as per rising need. All care plans sampled were updated and reviewed every six months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and a community geriatric service referral form when referring residents to other service providers. The GP confirmed that processes are in place to ensure that all referrals are followed up accordingly. Resident and family are kept informed of the referrals made by the service. All referrals are facilitated by the RNs or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guidelines in place for the management and storage of waste and hazardous substance. The protocols meet work health and safety, infection control and local body requirements. Staff receive training in safe handling of waste and chemicals. Protective gloves, masks and aprons, covered receptacles and secure storage facilities are provided. Staff were observed using appropriate protective clothing and methods during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consists of two adjacent houses and twelve self-contained units. All buildings are well maintained internally and externally.  Internal areas are well lit; handrails are installed in all bathrooms and in corridors where the level changes. External decks have suitable seating and handrails. Improvement is required to ensure that all stairs have safety barriers to prevent residents from falling down them.</w:t>
            </w:r>
          </w:p>
          <w:p w:rsidR="00EB7645" w:rsidRPr="00BE00C7" w:rsidP="00BE00C7">
            <w:pPr>
              <w:pStyle w:val="OutcomeDescription"/>
              <w:spacing w:before="120" w:after="120"/>
              <w:rPr>
                <w:rFonts w:cs="Arial"/>
                <w:b w:val="0"/>
                <w:lang w:eastAsia="en-NZ"/>
              </w:rPr>
            </w:pPr>
            <w:r w:rsidRPr="00BE00C7">
              <w:rPr>
                <w:rFonts w:cs="Arial"/>
                <w:b w:val="0"/>
                <w:lang w:eastAsia="en-NZ"/>
              </w:rPr>
              <w:t>All external areas are paved. Suitable external sheltered seating is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a maintenance program in place that is monitored by the facility manager. A current building warrant of fitness was sighted that expires on 13 October 2018.</w:t>
            </w:r>
          </w:p>
          <w:p w:rsidR="00EB7645" w:rsidRPr="00BE00C7" w:rsidP="00BE00C7">
            <w:pPr>
              <w:pStyle w:val="OutcomeDescription"/>
              <w:spacing w:before="120" w:after="120"/>
              <w:rPr>
                <w:rFonts w:cs="Arial"/>
                <w:b w:val="0"/>
                <w:lang w:eastAsia="en-NZ"/>
              </w:rPr>
            </w:pPr>
            <w:r w:rsidRPr="00BE00C7">
              <w:rPr>
                <w:rFonts w:cs="Arial"/>
                <w:b w:val="0"/>
                <w:lang w:eastAsia="en-NZ"/>
              </w:rPr>
              <w:t>An equipment register is maintained by the facility manager and records confirm that the required functional and calibration checks are up to date. All electrical appliances and equipment are tested and tagged annually by a registered electrician. Current registrations were sighted for all technicians and trades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bedrooms are single with four double rooms for those who prefer them. All bedrooms have either a shared ensuite bathroom with toilet, accessible shower and hand basin or a hand basin and adjacent shared bathroom. Privacy curtains are installed. Bathroom doors have reversible privacy locks. Hot water temperatures are monitored weekly and maintained at safe levels. There are separate facilities for staff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bedrooms are furnished with electric adjustable beds, side table and chair. There is adequate space for personal items, and mobility aids. Hospital rooms have wide doors and space to manoeuvre hoists and wheels chairs.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house has a large lounge and recreation area. The dining room in each house is large enough to seat all residents and accommodate their mobility aids. All areas are accessible to wheelchairs. There is sufficient seating for all residents and a variety of seating styles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 equipped laundry with clean and dirty areas clearly separated. Washing and drying machines are regularly checked and serviced. Temperatures are monitored and maintained to meet safe hygiene requirements.  Food service linen and personal items are washed separately.  Laundry and cleaning chemicals are labelled and securely stored. Both the laundry and cleaning staff have received training and documented guidelines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undertaken by facility cleaners. Cleaning guidelines and  lockable cleaning trolleys are provided. There is safe storage for cleaning equipment and supplies. Cleaning schedules are maintained for daily and periodic cleaning. Cleaning audits are done monthly. Inspection on site confirmed that a high standard of cleanliness is maintained throughout the facility. Residents and family survey results indicate general satisfaction with laundry services and the standard of cleanliness maintained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suitable documented procedures for management of clinical, environmental and civil emergencies including a documented service continuity plan. Staff interviews and training records confirm that training in response to clinical and environmental emergencies is undertaken annually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barbecues with full gas bottles to provide cooking facilities in case of utility failure. Hot water is heated by gas. Alternative oil heaters are stored on site to warm the home if power goes off. There is a diesel generator that will run for eight hours plus extra fuel for another two hours. Food supplies would last for five days. Hygiene supplies for one week. Large torches are maintained to provide lighting. Alternative electricity supply is available for more than two hours from a diesel generator. Sufficient extra blankets are available to keep residents warm until alternative arrangements can be made. There are two water storage tanks x 1000 litres each and additional bottled drinking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emergency evacuation plan was sighted, approved by the New Zealand Fire Service. There have been no alterations to the building since the plan was approved. The plan of evacuation routes and assembly points is displayed at the nurses’ station in each house. There is evidence that trial evacuation practices take place twice a year and that all staff attend at least one a year.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communal areas. Self-contained units have a call bell in the bathroom and living area.  A call bell is within reach of the resident in all but one rest home bedroom and bathroom. The resident wears a pendant call button but could not find it on audit day. The bell in another room was behind a wardrobe. Bell audits and residents interviewed confirm that staff respond promptly to the bell. Monthly bell checks are done. Staff are aware of the emergency call sign. There are suitable processes in place for securing the facility after hours. The gates to the grounds are locked at night. External motion sensitive lighting is installed.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was observed to be light and airy and well ventilated. All but one bedroom have a window that opens. One room used as a bedroom in Cecelia House only has a high skylight and minimal natural light or ventilation. The facility is air conditioned. Residents interviewed confirmed that the facility is maintained at a comfortably warm temperature. The facility maintains a non -smoking policy indoors and limits smoking in the grounds to a sheltered gazebo outdoors.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Tui House provides an environment that minimises the risk of infection to residents, staff and visitors by implementing an appropriate infection prevention and control programme. The clinical manager is the infection control coordinator (ICC) and has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An annual infection summary is completed, and quality meetings are held quarterly.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comply with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external specialist consultants. A records of attendance were sighted. The training education information pack is detailed and meets best practice and guidelines. External contact resources included: GP; laboratories; external IC consultant and local district health board. Staff interviewed confirmed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analysed, monitored and reviewed monthly. Infection incident report summary and yearly tracking of infections is done to check for trends.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Tui House has a commitment to providing quality services for residents in a safe environment and work to minimise the use of restraint. All staff receive education regarding restraint minimisation and management of challenging behaviours. Staff interviewed had understanding of the difference between a restraint and enabler use. The service currently has no residents using restraint and five residents using enablers for safety and comfort. These are used on a voluntary basis and include safety lap belts. The assessment, approval, monitoring and review process is the same for both restraints and enablers. A restraint register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5"/>
        <w:gridCol w:w="1280"/>
        <w:gridCol w:w="4699"/>
        <w:gridCol w:w="2315"/>
        <w:gridCol w:w="23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exit door in Cecelia House has a 15cm step down to a deck from which a steep set of stairs descends to a pathway. There is no ramp and no gate at the steps to prevent residents  from falling down them.</w:t>
            </w:r>
          </w:p>
          <w:p w:rsidR="00EB7645" w:rsidRPr="00BE00C7" w:rsidP="00BE00C7">
            <w:pPr>
              <w:pStyle w:val="OutcomeDescription"/>
              <w:spacing w:before="120" w:after="120"/>
              <w:rPr>
                <w:rFonts w:cs="Arial"/>
                <w:b w:val="0"/>
                <w:lang w:eastAsia="en-NZ"/>
              </w:rPr>
            </w:pPr>
            <w:r w:rsidRPr="00BE00C7">
              <w:rPr>
                <w:rFonts w:cs="Arial"/>
                <w:b w:val="0"/>
                <w:lang w:eastAsia="en-NZ"/>
              </w:rPr>
              <w:t>There is a 60cm drop from a ranch slider that opens off one bedroom in Tui House onto a garden. A safety rail is in place at waist height but nothing below it to prevent a resident from slipping underneath and falling into the garden.</w:t>
            </w:r>
          </w:p>
          <w:p w:rsidR="00EB7645" w:rsidRPr="00BE00C7" w:rsidP="00BE00C7">
            <w:pPr>
              <w:pStyle w:val="OutcomeDescription"/>
              <w:spacing w:before="120" w:after="120"/>
              <w:rPr>
                <w:rFonts w:cs="Arial"/>
                <w:b w:val="0"/>
                <w:lang w:eastAsia="en-NZ"/>
              </w:rPr>
            </w:pPr>
            <w:r w:rsidRPr="00BE00C7">
              <w:rPr>
                <w:rFonts w:cs="Arial"/>
                <w:b w:val="0"/>
                <w:lang w:eastAsia="en-NZ"/>
              </w:rPr>
              <w:t>There is set of stairs used by staff situated beside the dining room in Tui House. The stairs go down to the lower floor. The door to the stairs is not secured to prevent access by residents who could fall down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exits, steps and stairs that are accessible to residents have suitable barriers to protect residents from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steps and stairs that are accessible to residents have suitable barriers to protect residents from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call bell is not installed in one rest home bedroom and bathroom in Cecelia House. The resident wears a pendant call button but could not find it on audit day. The bell in another resident’s room was inaccessible behind a wardrobe.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 bedrooms and bathrooms have a call bell installed within easy reach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 bedrooms and bathrooms have call bells within easy reach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who have an alternative emergency pendant are capable of using 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1.4.8.2</w:t>
            </w:r>
          </w:p>
          <w:p w:rsidR="00EB7645" w:rsidRPr="00BE00C7" w:rsidP="00BE00C7">
            <w:pPr>
              <w:pStyle w:val="OutcomeDescription"/>
              <w:spacing w:before="120" w:after="120"/>
              <w:rPr>
                <w:rFonts w:cs="Arial"/>
                <w:b w:val="0"/>
                <w:lang w:eastAsia="en-NZ"/>
              </w:rPr>
            </w:pPr>
            <w:r w:rsidRPr="00BE00C7">
              <w:rPr>
                <w:rFonts w:cs="Arial"/>
                <w:b w:val="0"/>
                <w:lang w:eastAsia="en-NZ"/>
              </w:rPr>
              <w:t>All consumer-designated rooms (personal/living areas) have at least one external window of normal proportions to provide natural light.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resident’s bedroom has a high skylight and minimal natural light or ventilation.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bedroom does not have at least one window of normal proportions to provide natural light.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Reallocate room for non-resident use and provide the resident with a room with a normal window.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Tui House Limited - Tui House</w:t>
    </w:r>
    <w:bookmarkEnd w:id="58"/>
    <w:r>
      <w:rPr>
        <w:rFonts w:cs="Arial"/>
        <w:sz w:val="16"/>
        <w:szCs w:val="20"/>
      </w:rPr>
      <w:tab/>
      <w:t xml:space="preserve">Date of Audit: </w:t>
    </w:r>
    <w:bookmarkStart w:id="59" w:name="AuditStartDate1"/>
    <w:r>
      <w:rPr>
        <w:rFonts w:cs="Arial"/>
        <w:sz w:val="16"/>
        <w:szCs w:val="20"/>
      </w:rPr>
      <w:t>4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