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Gardenview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Gardenview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March 2018</w:t>
      </w:r>
      <w:bookmarkEnd w:id="7"/>
      <w:r w:rsidRPr="009418D4">
        <w:rPr>
          <w:rFonts w:cs="Arial"/>
        </w:rPr>
        <w:tab/>
        <w:t xml:space="preserve">End date: </w:t>
      </w:r>
      <w:bookmarkStart w:id="8" w:name="AuditEndDate"/>
      <w:r w:rsidR="00A4268A">
        <w:rPr>
          <w:rFonts w:cs="Arial"/>
        </w:rPr>
        <w:t>13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Gardenview Rest Home is part of the Bupa group of aged care facilities.  The care facility has a total of 41 beds.  During the audit there were 41 residents including one respite resident.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is managed by a care home manager, who is a registered nurse (RN) and qualified and experienced for the role.  The facility manager is supported by a clinical manager/RN.  The GP interviewed spoke positively about the service provided.</w:t>
      </w:r>
    </w:p>
    <w:p w:rsidRPr="00A4268A">
      <w:pPr>
        <w:spacing w:before="240" w:line="276" w:lineRule="auto"/>
        <w:rPr>
          <w:rFonts w:eastAsia="Calibri"/>
        </w:rPr>
      </w:pPr>
      <w:r w:rsidRPr="00A4268A">
        <w:rPr>
          <w:rFonts w:eastAsia="Calibri"/>
        </w:rPr>
        <w:t xml:space="preserve"> This audit identified four shortfalls around preferred name, care plan interventions, activities and training.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Complaints and concerns have been managed appropriately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care home manager is supported by a clinical manager, registered nurses, caregivers and support staff.  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A comprehensive education and training programme is implemented with a current plan in place.  </w:t>
      </w:r>
    </w:p>
    <w:p w:rsidRPr="00A4268A">
      <w:pPr>
        <w:spacing w:before="240" w:line="276" w:lineRule="auto"/>
        <w:rPr>
          <w:rFonts w:eastAsia="Calibri"/>
        </w:rPr>
      </w:pPr>
      <w:r w:rsidRPr="00A4268A">
        <w:rPr>
          <w:rFonts w:eastAsia="Calibri"/>
        </w:rPr>
        <w:t xml:space="preserve">Appropriate employment processes are adhered to.  There is a roster that provides sufficient and appropriate staff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and all residents have a care plan in place.  Care plans demonstrate service integration and are reviewed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medicines records reviewed included documentation of allergies and sensitivities and are reviewed at least three monthly by the general practitioner.</w:t>
      </w:r>
    </w:p>
    <w:p w:rsidRPr="00A4268A" w:rsidP="00621629">
      <w:pPr>
        <w:spacing w:before="240" w:line="276" w:lineRule="auto"/>
        <w:rPr>
          <w:rFonts w:eastAsia="Calibri"/>
        </w:rPr>
      </w:pPr>
      <w:r w:rsidRPr="00A4268A">
        <w:rPr>
          <w:rFonts w:eastAsia="Calibri"/>
        </w:rPr>
        <w:t xml:space="preserve">An activities programme is implemented.  The programme includes community visitors and outings and entertainment. </w:t>
      </w:r>
    </w:p>
    <w:p w:rsidRPr="00A4268A" w:rsidP="00621629">
      <w:pPr>
        <w:spacing w:before="240" w:line="276" w:lineRule="auto"/>
        <w:rPr>
          <w:rFonts w:eastAsia="Calibri"/>
        </w:rPr>
      </w:pPr>
      <w:r w:rsidRPr="00A4268A">
        <w:rPr>
          <w:rFonts w:eastAsia="Calibri"/>
        </w:rPr>
        <w:t>All food and baking are done on-site.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either restraints or enablers.  Restraint management processes are available if restraint is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8"/>
        <w:gridCol w:w="1280"/>
        <w:gridCol w:w="100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No complaints have been lodged in 2018 (YTD).  Six complaints were reviewed for 2017.  All complaints had a noted investigation, timelines determined by HDC were met, and corrective actions (where indicated) were actioned and signed off as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they are reported to senior management through the electronic data base, and monthly reports from the care home manager.  They are discussed in quality meetings.  Discussions with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Privacy is ensured, and independence is encouraged.  Discussions with six relatives confirmed they were positive about the service in relation to their family member’s values and beliefs being considered and met.  Residents' files and care plans identify residents preferred names.  On the day of audit one relative commented that they were referred to by a ‘nick name’ and staff were observed and overheard referring to residents in an inappropriate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relatives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family communication is held in the front of each resident’s file.  Five of six incidents/accidents forms selected for review indicated that family were informed (one had documented that they did not wish to be informed).  Families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Information provided to relatives on admission provides comprehensive information around secure dementia services.</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Gardenview Rest Home is part of the Bupa group of aged care facilities.  The care facility has a total of 41 beds, divided into two units suitable for secure dementia care.  During the audit there were 41 residents, including one respite resident.  Bupa's overall vision and values are displayed in a visible location.  This includes the Bupa person-centred approach and the commencement of ‘person first’ (dementia second) training for all staff.  All staff are made aware of the vision and values during their induction to the service.  There is an overall Bupa business plan and risk management plan.  There are documented quality/health and safety goals that are reviewed monthly and signed off when achieved.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(RN) has been in the role for the last five years (away on the day of audit) and was previously the clinical manager.  The manager is supported by a new clinical manager.  The outgoing clinical manager was orientating the new clinical manager to the role at the time of audit.  The care home manager has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operations manager, clinical manager(s) and five staff (three caregivers, one enrolled nurse, and one activities coordinator)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interRAI for an aged care service and meet current health and safety legislative requirements.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of meetings document that all quality system data collected are collated and analysed with results communicated to staff (examples include: falls, medication errors, wounds, skin tears, pressure injuries, complaints, challenging behaviours infection control and internal audit outcomes).  Monthly staff, quality and health and safety meetings occur as per the meeting schedule.  </w:t>
            </w:r>
          </w:p>
          <w:p w:rsidR="00EB7645" w:rsidRPr="00BE00C7" w:rsidP="00BE00C7">
            <w:pPr>
              <w:pStyle w:val="OutcomeDescription"/>
              <w:spacing w:before="120" w:after="120"/>
              <w:rPr>
                <w:rFonts w:cs="Arial"/>
                <w:b w:val="0"/>
                <w:lang w:eastAsia="en-NZ"/>
              </w:rPr>
            </w:pPr>
            <w:r w:rsidRPr="00BE00C7">
              <w:rPr>
                <w:rFonts w:cs="Arial"/>
                <w:b w:val="0"/>
                <w:lang w:eastAsia="en-NZ"/>
              </w:rPr>
              <w:t>Two monthly resident and family meetings occur.   The 2017 survey documents an improvement on 2016.  Overall satisfaction went from 50 to 56 % and net promoter score improved from plus 35 to plus 42.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In addition to scheduled monthly internal audits, an annual facility health check is conducted by an external Bupa representative.  Areas of non-compliance include the initiation of corrective actions with sign-off by the care home manager when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team meet two monthly.  Staff undergo annual health and safety training which begins during their orientation.  All staff are provided with information about their responsibility under the Health Safety at Work Act 2015.  Bupa facilities have been awarded ACC work safety management practice at a tertiary level (expiry 5 July 2018).  </w:t>
            </w:r>
          </w:p>
          <w:p w:rsidR="00EB7645" w:rsidRPr="00BE00C7" w:rsidP="00BE00C7">
            <w:pPr>
              <w:pStyle w:val="OutcomeDescription"/>
              <w:spacing w:before="120" w:after="120"/>
              <w:rPr>
                <w:rFonts w:cs="Arial"/>
                <w:b w:val="0"/>
                <w:lang w:eastAsia="en-NZ"/>
              </w:rPr>
            </w:pPr>
            <w:r w:rsidRPr="00BE00C7">
              <w:rPr>
                <w:rFonts w:cs="Arial"/>
                <w:b w:val="0"/>
                <w:lang w:eastAsia="en-NZ"/>
              </w:rPr>
              <w:t>Goals for 2018 include person first (dementia second) training for staff, hazard identification, and also the reduction of falls and pressure injuries.  Monthly meetings document that progress towards goals are discussed.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care home manager, the clinical manager and/or registered nursing staff, clinical follow-up was evidenced in all six resident falls related accident/incident forms reviewed.  Adverse events are analysed with results communicated to staff.  There is evidence to support actions are undertaken to minimise the number of incidents.  Clinical follow-up of residents is conducted by a registered nurse and documented in progress notes and care plans.  Unwitnessed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two clinical managers and the operations manager confirmed awareness of the requirement to notify relevant authorities in relation to essential notifications.  There have been no section 31 notifications or coroner’s inquests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A register of current practising certificates is maintained.  Six staff files reviewed (two caregivers, one RN, one clinical manager, one activity staff member and one cook) evidenced that reference checks were completed before employment is offered.  Also sighted were signed employment agreements and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The education programme being implemented is extensive and includes in-service training, competency assessments, and impromptu (tool box) talks.  Caregivers are expected to complete an aged care education programme that meets the New Zealand Quality Authority (NZQSA) requirements.  Not all staff have completed the Core Competencies level three, unit standards within timeframes.    </w:t>
            </w:r>
          </w:p>
          <w:p w:rsidR="00EB7645" w:rsidRPr="00BE00C7" w:rsidP="00BE00C7">
            <w:pPr>
              <w:pStyle w:val="OutcomeDescription"/>
              <w:spacing w:before="120" w:after="120"/>
              <w:rPr>
                <w:rFonts w:cs="Arial"/>
                <w:b w:val="0"/>
                <w:lang w:eastAsia="en-NZ"/>
              </w:rPr>
            </w:pPr>
            <w:r w:rsidRPr="00BE00C7">
              <w:rPr>
                <w:rFonts w:cs="Arial"/>
                <w:b w:val="0"/>
                <w:lang w:eastAsia="en-NZ"/>
              </w:rPr>
              <w:t>The cook has completed a qualification in food safety and food hygiene.  All kitchen staff have completed their food safety training on-site.  Chemical safety training is included in staff orientation and as a regular in-service topic.</w:t>
            </w:r>
          </w:p>
          <w:p w:rsidR="00EB7645" w:rsidRPr="00BE00C7" w:rsidP="00BE00C7">
            <w:pPr>
              <w:pStyle w:val="OutcomeDescription"/>
              <w:spacing w:before="120" w:after="120"/>
              <w:rPr>
                <w:rFonts w:cs="Arial"/>
                <w:b w:val="0"/>
                <w:lang w:eastAsia="en-NZ"/>
              </w:rPr>
            </w:pPr>
            <w:r w:rsidRPr="00BE00C7">
              <w:rPr>
                <w:rFonts w:cs="Arial"/>
                <w:b w:val="0"/>
                <w:lang w:eastAsia="en-NZ"/>
              </w:rPr>
              <w:t>One clinical manager and one RN have completed their interRAI training and the new clinical manager is in the process of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(RN) works Monday to Friday and the clinical manager (RN) works Sunday to Thursday, and an additional RN works on Saturday and assists to cover leave.  The care home manager and clinical manager share on call when not available on-site.</w:t>
            </w:r>
          </w:p>
          <w:p w:rsidR="00EB7645" w:rsidRPr="00BE00C7" w:rsidP="00BE00C7">
            <w:pPr>
              <w:pStyle w:val="OutcomeDescription"/>
              <w:spacing w:before="120" w:after="120"/>
              <w:rPr>
                <w:rFonts w:cs="Arial"/>
                <w:b w:val="0"/>
                <w:lang w:eastAsia="en-NZ"/>
              </w:rPr>
            </w:pPr>
            <w:r w:rsidRPr="00BE00C7">
              <w:rPr>
                <w:rFonts w:cs="Arial"/>
                <w:b w:val="0"/>
                <w:lang w:eastAsia="en-NZ"/>
              </w:rPr>
              <w:t>There is an RN on duty every AM shift and an RN or senior caregivers each PM shift.</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two units, (one of 20 residents and one of 20 plus a respite bed).  There is an entrance and foyer area between each unit.  Each unit is staffed separately.  All staff are rostered, so that they rotate different weeks across units to enable them to get to know all residents.  The front door to the care park was always locked and both unit doors were open to the main foyer on the days of audit.  There is a sitting area in the foyer where residents often sit.  The admin office and managers office is located off the foyer and they are available to re-direct residents back to their correct unit if needed.</w:t>
            </w:r>
          </w:p>
          <w:p w:rsidR="00EB7645" w:rsidRPr="00BE00C7" w:rsidP="00BE00C7">
            <w:pPr>
              <w:pStyle w:val="OutcomeDescription"/>
              <w:spacing w:before="120" w:after="120"/>
              <w:rPr>
                <w:rFonts w:cs="Arial"/>
                <w:b w:val="0"/>
                <w:lang w:eastAsia="en-NZ"/>
              </w:rPr>
            </w:pPr>
            <w:r w:rsidRPr="00BE00C7">
              <w:rPr>
                <w:rFonts w:cs="Arial"/>
                <w:b w:val="0"/>
                <w:lang w:eastAsia="en-NZ"/>
              </w:rPr>
              <w:t>Each of the units have two caregivers on long shifts during the AM plus there is an enrolled nurse Monday to Friday across units.  On the PM shift, both units have one caregiver on a long shift plus a 4.00 pm to 10.00 pm shift.  There is a caregiver on each unit overnight plus a floater person between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medications at the time of audit.  The service uses robotic packs and an electronic medication management system.  The RN checks all medications on delivery against the medication and any pharmacy errors recorded and fed back to the supplying pharmacy.  Medications are securely and appropriately stored.  The medication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All senior staff who administer medications have been assessed for competency on an annual basis.  Education around safe medication administration has been provided.  Staff were observed to be safely administering medications.  Registered nurses and care staff interviewed were able to describe their role in regard to medicine administration.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Photo identification and allergy status were on all charts.  All medication charts for long-term residents had been reviewed by the GP at least three-monthly.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Gardenview continue to be prepared and cooked on-site.  There is a six-weekly seasonal menu which had been reviewed by a dietitian.  Meals are delivered to each dining area.  Dietary needs are known with individual likes and dislikes accommodated.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Family surveys and interviews with relatives allow for the opportunity for relative feedback on the meals and food services generally.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on each meal.  The dishwasher is checked regularly by the chemical supplier.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additional nutritious snacks are available over 24 hours in both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five files sampled had been completed each shift, and reflected the interventions detailed in the long-term care plans.  Weekly to two weekly clinical reviews by an RN had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specialist consultation.  The family members confirmed on interview they are notified of any changes to their relative’s health.  Discussions with families and notifications were documented in the resident file sampled in the family/whānau contact form.  </w:t>
            </w:r>
          </w:p>
          <w:p w:rsidR="00EB7645" w:rsidRPr="00BE00C7" w:rsidP="00BE00C7">
            <w:pPr>
              <w:pStyle w:val="OutcomeDescription"/>
              <w:spacing w:before="120" w:after="120"/>
              <w:rPr>
                <w:rFonts w:cs="Arial"/>
                <w:b w:val="0"/>
                <w:lang w:eastAsia="en-NZ"/>
              </w:rPr>
            </w:pPr>
            <w:r w:rsidRPr="00BE00C7">
              <w:rPr>
                <w:rFonts w:cs="Arial"/>
                <w:b w:val="0"/>
                <w:lang w:eastAsia="en-NZ"/>
              </w:rPr>
              <w:t>The new resident and the respite resident both have a short-term care plan in place (short stay nursing assessment and care plan for the respite and a Bupa assessment book and care summary for the new resident).  The care plan interventions for both these residents and two longer-term residents did not include all interventions.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a total of 16 wounds recorded.  The wounds were minor skin conditions, such as skin tears and fragile skin.  There were no pressure injuries.  All wounds had wound assessments, plans and ongoing evaluations completed, but evaluations were not always timely or fully complete.  </w:t>
            </w:r>
          </w:p>
          <w:p w:rsidR="00EB7645" w:rsidRPr="00BE00C7" w:rsidP="00BE00C7">
            <w:pPr>
              <w:pStyle w:val="OutcomeDescription"/>
              <w:spacing w:before="120" w:after="120"/>
              <w:rPr>
                <w:rFonts w:cs="Arial"/>
                <w:b w:val="0"/>
                <w:lang w:eastAsia="en-NZ"/>
              </w:rPr>
            </w:pPr>
            <w:r w:rsidRPr="00BE00C7">
              <w:rPr>
                <w:rFonts w:cs="Arial"/>
                <w:b w:val="0"/>
                <w:lang w:eastAsia="en-NZ"/>
              </w:rPr>
              <w:t>Stocks of continence and dressing supplies are monitored by the RNs and ordered on a regular basis.  Sufficient continence and dressing supplies are available.  Registered nurses were able to describe access for wound and continence specialist input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Weights are monitored monthly or more often, snacks are available, and dietitian available if needed.  This was seen on all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use (sighted) include; fluid balance, continence diary, monthly blood pressure and weight monitoring, nutritional food and fluid monitoring record, two-hourly turning charts, and behaviour monitoring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reported their needs were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activity coordinator (trained DT) Monday to Friday, an activities assistant for three days per week and an additional assistant for Saturdays.  The activity coordinator has been in the role eight years.  The activity staff have all completed the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provided six days a week and these are published weekly and posted in each resident’s room.  Bupa has set activities on the programme calendar with the flexibility to add site-specific activities, entertainers and outings.  Activities meet the abilities of both resident groups and younger persons.  One-on-one time is spent with residents who are unable to, or choose not to join in the group activities.  There are regular entertainers to the home and residents go on regular outings and drives.  The service had a wheelchair hoist van.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completes a Map of Life on admission, which includes previous hobbies, community links, family, and interests.  The individual activity plan is incorporated into the ‘My Day My Way’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Family have the opportunity to provide feedback on the activity programme through resident/relative meetings and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for long-term residents had been evaluated by registered nurses six-monthly.  There is a comprehensive multidisciplinary review documented.  The multidisciplinary review involves the clinical manager, RN, GP, any allied health member involved in individual resident care,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28 February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(RN with oversight from the clinical manager)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 that advises and provides feedback/information to the service.  Systems in place are appropriate to the size and complexity of the facility.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using restraints or enablers.  The clinical manager is the restraint coordinator and continues to maintain a restraint-free environment.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769"/>
        <w:gridCol w:w="5412"/>
        <w:gridCol w:w="25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1.1.3.2</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that are responsive to the needs, values, and beliefs of the cultural, religious, social, and/or ethnic group with which each consumer identifies.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relative commented that they were referred to by a ‘nick name’ and had to ask more than once for this practice to cease.  Staff were overheard calling one resident ‘dad’ (he was not the staff member’s dad, and this was not his preferred name).  On two separate occasions (once in each wing) staff were seen and heard mocking resident’s accents and their cultural origin.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are respectful of residents and their family’s cultural origin and refer to the resident by their preferred name.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education programme is being implemented and includes in-service training, competency assessments, and impromptu (tool box) talk.  Of the 45 staff who work in the dementia units 40 have completed the Core Competencies level three, unit standards.  Access to interRAI training has impacted on the timeliness of interRAI assessments for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who work in the dementia unit have been employed over a year and have yet to complete the Core Competencies level three, unit standards.  One of five resident files has an interRAI assessment that was not within timeframes, this is attributed to access to training for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who work within the dementia unit have completed New Zealand Quality Authority (NZQSA) dementia standards within set timeframes.  Continue to access interRAI training for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reviewed had assessments and care plans in place.  Staff interviewed were aware of care needs for individual residents.  Care plans reviewed did not include all interventions to support all assessed care needs.  Wound care plans reviewed had not all been evaluated in a timely manner and were not all fully complete.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care plan for a newly admitted resident did not document all care and support needed as detailed in the progress notes.  There were also interventions documented that did not relate to this resident’s care.  The care plan also had another resident’s name in parts of the care plan.  (ii) One respite resident and three longer-term resident’s care plans reviewed did not include de-escalation techniques to manage behaviours that challenge.  (iii) Two behaviour monitoring charts reviewed did not document all behaviour exhibited.  (iv) Of sixteen wound charts reviewed; four did not include a fully completed evaluation at each dressing change and seven had not been evaluated according to set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care plans reflect the individualised care needs for each resident.  (ii) Ensure that de-escalation techniques for behaviours that challenge are fully documented, (iii) Ensure behaviour monitoring charts are fully completed.  (iv) Ensure that wound care evaluations are documented and completed according to set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activities coordinators and all residents have an activity plan as part of the care planning process.  During the days of audit, not all residents were provided with meaningful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days of audit residents who did not go on the van trip did not have activities provided.  Residents watching television did not have their chairs facing the television.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are meaningful activities in place for all resident and that residents are actively assisted to engage in activities.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Gardenview Rest Home</w:t>
    </w:r>
    <w:bookmarkEnd w:id="58"/>
    <w:r>
      <w:rPr>
        <w:rFonts w:cs="Arial"/>
        <w:sz w:val="16"/>
        <w:szCs w:val="20"/>
      </w:rPr>
      <w:tab/>
      <w:t xml:space="preserve">Date of Audit: </w:t>
    </w:r>
    <w:bookmarkStart w:id="59" w:name="AuditStartDate1"/>
    <w:r>
      <w:rPr>
        <w:rFonts w:cs="Arial"/>
        <w:sz w:val="16"/>
        <w:szCs w:val="20"/>
      </w:rPr>
      <w:t>12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