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Holmwood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Holmwood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April 2018</w:t>
      </w:r>
      <w:bookmarkEnd w:id="7"/>
      <w:r w:rsidRPr="009418D4">
        <w:rPr>
          <w:rFonts w:cs="Arial"/>
        </w:rPr>
        <w:tab/>
        <w:t xml:space="preserve">End date: </w:t>
      </w:r>
      <w:bookmarkStart w:id="8" w:name="AuditEndDate"/>
      <w:r w:rsidR="00A4268A">
        <w:rPr>
          <w:rFonts w:cs="Arial"/>
        </w:rPr>
        <w:t>27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Holmwood Rest Home and Hospital (Oceania Healthcare Limited) can provide care for up to 52 residents requiring care at either rest home or hospital level. Occupancy on the day of the audit was 49.This surveillance audit has been undertaken to establish compliance with the relevant Health and Disability Services Standards and the district health board contract. </w:t>
      </w:r>
    </w:p>
    <w:p w:rsidRPr="00A4268A">
      <w:pPr>
        <w:spacing w:before="240" w:line="276" w:lineRule="auto"/>
        <w:rPr>
          <w:rFonts w:eastAsia="Calibri"/>
        </w:rPr>
      </w:pPr>
      <w:r w:rsidRPr="00A4268A">
        <w:rPr>
          <w:rFonts w:eastAsia="Calibri"/>
        </w:rPr>
        <w:t xml:space="preserve">The audit process included the review of policies and procedures, the review of residents and staff files, observations, and interviews with residents, family, management, staff and a general practitioner. Service delivery is monitored. </w:t>
      </w:r>
    </w:p>
    <w:p w:rsidRPr="00A4268A">
      <w:pPr>
        <w:spacing w:before="240" w:line="276" w:lineRule="auto"/>
        <w:rPr>
          <w:rFonts w:eastAsia="Calibri"/>
        </w:rPr>
      </w:pPr>
      <w:r w:rsidRPr="00A4268A">
        <w:rPr>
          <w:rFonts w:eastAsia="Calibri"/>
        </w:rPr>
        <w:t xml:space="preserve">The previous requirement for improvement relating to adverse events has been closed. There is an improvement required relating to service delivery timeframes.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This information is provided to the residents and their families on admission to the facility. Residents confirmed their rights are being met, staff are informed and are respectful of the residents needs and communication is appropriate.</w:t>
      </w:r>
    </w:p>
    <w:p w:rsidRPr="00A4268A">
      <w:pPr>
        <w:spacing w:before="240" w:line="276" w:lineRule="auto"/>
        <w:rPr>
          <w:rFonts w:eastAsia="Calibri"/>
        </w:rPr>
      </w:pPr>
      <w:r w:rsidRPr="00A4268A">
        <w:rPr>
          <w:rFonts w:eastAsia="Calibri"/>
        </w:rPr>
        <w:t>The business and care manager is responsible for the management of complaints. A complaints register is maintained and up to date.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this facility. A business plan and quality and risk management systems document the scope, direction, goals, values and mission statement of the facility. </w:t>
      </w:r>
    </w:p>
    <w:p w:rsidRPr="00A4268A">
      <w:pPr>
        <w:spacing w:before="240" w:line="276" w:lineRule="auto"/>
        <w:rPr>
          <w:rFonts w:eastAsia="Calibri"/>
        </w:rPr>
      </w:pPr>
      <w:r w:rsidRPr="00A4268A">
        <w:rPr>
          <w:rFonts w:eastAsia="Calibri"/>
        </w:rPr>
        <w:t xml:space="preserve">The facility has an incident and accident management system that records and reports all adverse, unplanned or untoward events, including appropriate statutory and regulatory reporting. </w:t>
      </w:r>
    </w:p>
    <w:p w:rsidRPr="00A4268A">
      <w:pPr>
        <w:spacing w:before="240" w:line="276" w:lineRule="auto"/>
        <w:rPr>
          <w:rFonts w:eastAsia="Calibri"/>
        </w:rPr>
      </w:pPr>
      <w:r w:rsidRPr="00A4268A">
        <w:rPr>
          <w:rFonts w:eastAsia="Calibri"/>
        </w:rPr>
        <w:t xml:space="preserve">The quality and risk management system supports the provision of clinical care at the service. Systems are in place for monitoring adverse events and the quality of services provided. Quality and risk performance is reported through meetings at the facility and monitored by the organisation‘s management team through the business status and clinical indicator reports. Corrective action plans are documented with evidence of resolution of identified issues. </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regional and executive management team. The clinical manager is responsible for the oversight of the clinical service provision in the facility. Staffing levels are adequate across the service. Human resource policies are current and implemented. Registered nurses are on duty 24 hours a day and are supported by adequate levels of care and allied health staff. On-call arrangements for support from senior staff are in place. There has been one sentinel event since the previous audit.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from suitably qualified and experienced staff. The residents’ files reviewed demonstrated the initial care plans were conducted within the required timeframes.</w:t>
      </w:r>
    </w:p>
    <w:p w:rsidRPr="00A4268A" w:rsidP="00621629">
      <w:pPr>
        <w:spacing w:before="240" w:line="276" w:lineRule="auto"/>
        <w:rPr>
          <w:rFonts w:eastAsia="Calibri"/>
        </w:rPr>
      </w:pPr>
      <w:r w:rsidRPr="00A4268A">
        <w:rPr>
          <w:rFonts w:eastAsia="Calibri"/>
        </w:rPr>
        <w:t>Care plan evaluations are documented, resident-focused and indicate progress towards meeting the desired outcomes. Where an acute problem occurs a short term care plan is completed. Residents and family members have an opportunity to contribute to assessments, care planning and evaluations of care.</w:t>
      </w:r>
    </w:p>
    <w:p w:rsidRPr="00A4268A" w:rsidP="00621629">
      <w:pPr>
        <w:spacing w:before="240" w:line="276" w:lineRule="auto"/>
        <w:rPr>
          <w:rFonts w:eastAsia="Calibri"/>
        </w:rPr>
      </w:pPr>
      <w:r w:rsidRPr="00A4268A">
        <w:rPr>
          <w:rFonts w:eastAsia="Calibri"/>
        </w:rPr>
        <w:t xml:space="preserve">Activities are planned and the activities programme includes a wide range of activities and involvement with the wider community.   </w:t>
      </w:r>
    </w:p>
    <w:p w:rsidRPr="00A4268A" w:rsidP="00621629">
      <w:pPr>
        <w:spacing w:before="240" w:line="276" w:lineRule="auto"/>
        <w:rPr>
          <w:rFonts w:eastAsia="Calibri"/>
        </w:rPr>
      </w:pPr>
      <w:r w:rsidRPr="00A4268A">
        <w:rPr>
          <w:rFonts w:eastAsia="Calibri"/>
        </w:rPr>
        <w:t xml:space="preserve">The medicines management system is documented and implemented to provide safe processes for prescribing, administration and medication reconciliation, dispensing, storage and disposal of medicines. The medicines policy includes a section on the self-administration of medicines. The residents who self-administer their medicines do so according to policy. Staff responsible for medicines management complete annual medication competencies. </w:t>
      </w:r>
    </w:p>
    <w:p w:rsidRPr="00A4268A" w:rsidP="00621629">
      <w:pPr>
        <w:spacing w:before="240" w:line="276" w:lineRule="auto"/>
        <w:rPr>
          <w:rFonts w:eastAsia="Calibri"/>
        </w:rPr>
      </w:pPr>
      <w:r w:rsidRPr="00A4268A">
        <w:rPr>
          <w:rFonts w:eastAsia="Calibri"/>
        </w:rPr>
        <w:t>Food and nutritional needs of residents are provided in line with recognised nutritional guidelines. There is a central kitchen and on-site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documented policies and procedures for restraint minimisation and safe practice. The restraint coordinator confirmed that enabler use is voluntary. There were three residents using restraints and two residents requesting the use of enablers. The residents’ files reviewed demonstrated that the policies and procedures relating to restraint minimisation and safe practice are followed.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are reported through all levels of the organisation. 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0"/>
        <w:gridCol w:w="1280"/>
        <w:gridCol w:w="9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Health and Disability Commissioner’s Code of Health and Disability Consumers’ Rights (the Code). Complaint forms are available at the entrance of the facility. A complaints register is in place and the register includes: the date the complaint is received; the source of the complaint; a description of the complaint; the outcome and agreed action. Evidence relating to each complaint lodged, is held in the complaints folder. Complaints reviewed in 2018 indicated that the complaints are investigated promptly with the issues resolved in a timely manner. There are currently no external complaints.</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managing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to residents and their families as part of the information pack that is given to the resident on admission. The resident admission agreement, signed by residents or their representative on entry to the service, details the services that are included in service provision and those services that are paid for by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inform residents and family members of facility activities and provide an opportunity for residents and family members to discuss issues/concerns with management. Minutes of residents meetings were sighted. Review of residents’ clinical files evidenced timely and open communication with residents and family members. Communication with family members is recorded in the progress notes and on the family communication sheets. Two newsletters have been sent out to residents and families in 2018. Residents and families confirmed the newsletters were informative.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management and families, confirmed family members are kept informed about any change in a resident’s condition and if any adverse event occurs. This was evidenced in the clinical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from the district health board if required. There were no residents at the facility requiring interpreter services on the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Holmwood Rest Home and Hospital is part of Oceania Healthcare Limited with the executive management team including: the chief executive; general manager; regional manager; operations manager and clinical and quality manager providing support to the service. Communication between the service and the executive management takes place regularly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business report provides the executive management team with progress against identified indicators. The Oceania Healthcare Limited mission, values and goals are communicated to residents, staff and family through posters on the wall, information in booklets and in annual staff training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51 residents with 49 beds occupied at the time of audit. Occupancy included 19 residents requiring rest home level care and 30 requiring hospital level of care. There were two residents identified as being under the young people with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the overall management of the service. The BCM is a registered nurse (RN) and has been in the role for three years, with previous experience in aged residential care with Oceania Healthcare Limited. The clinical manager (CM) is responsible for the oversight of the clinical service provision in the facility and has been in the role for six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Holmwood Rest Home and Hospital implements the Oceania Healthcare Limited quality and risk management framework to guide practice. The business plan is documented and reporting occurs through monthly reports and meetings with the regional manager. Reporting includes; financial monitoring; review of staff costs; progress against the healthy workplace action plan; and review of complaints and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organisational policies and procedures to support and guide service delivery. All policies are reviewed and current. Policies are linked to the Health and Disability Sector Standards, current/applicable legislation, and evidenced-based best practice guidelines. Policies are readily available to staff. New and revised policies are discussed at the monthly staff meetings and are signed by staff to confirm they have read and understand the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meetings scheduled to include, management; health and safety; staff; quality; registered nurse; resident and family meetings. All staff interviewed reported that they are kept informed of quality improvements. Service delivery is monitored through complaints; review of incidents and accidents; surveillance of infections and implementation of an internal audit programme. The internal audits reviewed show evidence of processes in place to implement changes that are required as a result of the internal audit. Quality improvement data is analysed through meetings and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in place for the service, which include a documented hazard management programme and a hazard register for each part of the service. Any hazards identified are signed off as addressed and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six monthly satisfaction survey for residents and family. The 2018 surveys indicate that residents and family are satisfied with services provided. This was confirmed through interviews with family and residents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and CM confirmed an understanding and awareness of the circumstances and events that require the facility to report to and notify statutory authorities, including police attending the facility, unexpected deaths, critical incidents and infectious disease outbreaks. Where an authority has been notified, this is documented and retained in the relevant file.</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reports selected for review had corresponding documentation in progress notes to inform staff that the incident occurred. There is evidence of open disclosure for recorded events. Incident/accident reports are signed off by the BCM. Information is shared at monthly meetings with incidents graphed, trends analysed and benchmarking of data occurring with other Oceania Healthcare Limited facilities.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the incident and accident reporting process at orientation and as part of the ongoing training programme. Staff understand the adverse event reporting process and are able to describe the importance of recording near misses. The previous requirement for improvement relating to adverse events reporting has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policy and processes are in place and implemented. All RNs, including the BCM and CM, hold current annual practising certificates. The current visiting practitioners’ practising certificates, including general practitioners, pharmacists, and physiotherapist, have been reviewed and were current. Staff files include employment documentation. An annual appraisal process is in place with all applicable staff having a current performance appraisal. Staff files include employment documentation such as: job descriptions, contracts and appointment documentation on file. Police and drug checks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available for staff. New staff are required to demonstrate competency on a number of tasks, including personal cares. The staff orientation covers the essential components of the service provided. Staff files show completion of orientation. Staff interviews described the buddy system in place for new staff and confirmed the competency sign off process is completed.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an Oceania-wide training schedule. A training and competency file is held for all staff, with folders of attendance records and training with electronic documentation of all training held. The service has a varied approach to ensuring that staff receive annual training that includes attendance at in-service, external training sessions and annual individualised training around core topics. The training register and training attendance sheets show staff completion of annual competencies, including medication. Relevant and ongoing training is provided to ensure non acute medical and YPD residents are provided with the specific care that is required to meet their needs.</w:t>
            </w:r>
          </w:p>
          <w:p w:rsidR="00EB7645" w:rsidRPr="00BE00C7" w:rsidP="00BE00C7">
            <w:pPr>
              <w:pStyle w:val="OutcomeDescription"/>
              <w:spacing w:before="120" w:after="120"/>
              <w:rPr>
                <w:rFonts w:cs="Arial"/>
                <w:b w:val="0"/>
                <w:lang w:eastAsia="en-NZ"/>
              </w:rPr>
            </w:pPr>
            <w:r w:rsidRPr="00BE00C7">
              <w:rPr>
                <w:rFonts w:cs="Arial"/>
                <w:b w:val="0"/>
                <w:lang w:eastAsia="en-NZ"/>
              </w:rPr>
              <w:t>There are six of the seven RNs plus the BCM who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hours exceed eight hours a year for all staff reviewed. The healthcare assistants (HCAs) stated they value the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reviewed for current and anticipated workloads; staff numbers and appropriate staff skill mix;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Rosters reviewed reflected staffing levels that meet resident acuity; bed occupancy; and the staffing requirements as per the contract in relation to the level of care required. There is a process in place to source additional staff in periods of unplanned absences and increased acuity levels. Residents and families interviewed confirm that there is sufficient staff to meet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 BCM and CM share on call on a week by week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areas evidence an appropriate, secure medicine dispensing system which is free from heat; moisture and light; with medicines stored in original dispensed packs. Weekly checks and six monthly physical stocktakes of medications are conducted. The records of temperature for the medicine fridge have readings documenting temperatures within the recommended range. There is a process for checking and managing expired medicines.</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 was observed and evidenced the staff member was knowledgeable about the medicine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who wish to self- administer medicines are assessed as competent to self -administer medicines, including residents under 65 years of age and do so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fluid and nutritional requirements of the residents is provided in line with recognised nutritional guidelines for older people. The menu has been reviewed by a dietitian. The kitchen manager and kitchen staff have safe food handling qualification and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kitchen staff and accommodated in the daily meal plan. Special equipment to meet residents’ nutritional needs and disabilities, was sighted. </w:t>
            </w:r>
          </w:p>
          <w:p w:rsidR="00EB7645" w:rsidRPr="00BE00C7" w:rsidP="00BE00C7">
            <w:pPr>
              <w:pStyle w:val="OutcomeDescription"/>
              <w:spacing w:before="120" w:after="120"/>
              <w:rPr>
                <w:rFonts w:cs="Arial"/>
                <w:b w:val="0"/>
                <w:lang w:eastAsia="en-NZ"/>
              </w:rPr>
            </w:pPr>
            <w:r w:rsidRPr="00BE00C7">
              <w:rPr>
                <w:rFonts w:cs="Arial"/>
                <w:b w:val="0"/>
                <w:lang w:eastAsia="en-NZ"/>
              </w:rPr>
              <w:t>Food procurement; production; preparation; storage; transportation; delivery and disposal complies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satisfaction with meals was verified by resident and family interviews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PCCPs evidence detailed interventions based on assessed needs, desired outcomes or goals of the residents. The GP documentation and records are current.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 </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monthly PCCPs review (refer to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residents’ assessment data reviewed. The programme also includes activities specifically for residents under 65 years of age.  The activities reflected residents’ goals, ordinary patterns of life and include normal community activities. Individual and group activities, and regular events are offered. The activities programme is discussed at the residents’ meetings and indicated residents’ input is sought and responded to.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residents’ progress notes.  If there are any changes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PCCPs evaluations, following reassessment, including interRAI assessment, to measure the degree of a resident’s response in relation to desired outcomes and goals occur every six months or as residents’ needs change (refer to 1.3.3.3). Care plan evaluations are conducted by the RN, with input from residents, family, HCAs, activities staff and GP. There was evidence of allied health care staff input when this was required. </w:t>
            </w:r>
          </w:p>
          <w:p w:rsidR="00EB7645" w:rsidRPr="00BE00C7" w:rsidP="00BE00C7">
            <w:pPr>
              <w:pStyle w:val="OutcomeDescription"/>
              <w:spacing w:before="120" w:after="120"/>
              <w:rPr>
                <w:rFonts w:cs="Arial"/>
                <w:b w:val="0"/>
                <w:lang w:eastAsia="en-NZ"/>
              </w:rPr>
            </w:pPr>
            <w:r w:rsidRPr="00BE00C7">
              <w:rPr>
                <w:rFonts w:cs="Arial"/>
                <w:b w:val="0"/>
                <w:lang w:eastAsia="en-NZ"/>
              </w:rPr>
              <w:t>A short-term care plan is initiated for short-term concerns. Short-term care plans are reviewed daily, weekly or fortnightly as indicated by the degree of risk noted during the assessment process.  Interviews, verified residents and family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is displayed in the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policy identifies the requirements around the surveillance of infections. The type of surveillance undertaken is appropriate to the size and complexity of this service. Infection logs are maintained for infection events. Monthly surveillance analysis is completed and reported at monthly staff meetings and entered in the clinical indicators on the Oceania intranet. This information is reviewed by the Oceania clinical quality team and reported to the Oceania board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evidenced the residents’ who were diagnosed with an infection had short-term care plans in place.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CM,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in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at the facility requesting the use of enablers and three residents using restraint on the days of the audit. The restraint and enabler use are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restraint minimisation and safe practice education and training is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0"/>
        <w:gridCol w:w="1280"/>
        <w:gridCol w:w="5168"/>
        <w:gridCol w:w="2319"/>
        <w:gridCol w:w="20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Processes are in place to support service provision, however, not all assessments, planning and evaluations are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Review of five residents’ files evidenced in two of five files PCCPs were not completed within three weeks of admission; and the evaluation of the PCCPs did not occur within the six month timeframe. The interRAI assessments were not completed within the three weeks of admission in two of five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initial interRAI assessments and the PCCPs are not consistently completed within the required three weeks of residents’ admission.</w:t>
            </w:r>
          </w:p>
          <w:p w:rsidR="00EB7645" w:rsidRPr="00BE00C7" w:rsidP="00BE00C7">
            <w:pPr>
              <w:pStyle w:val="OutcomeDescription"/>
              <w:spacing w:before="120" w:after="120"/>
              <w:rPr>
                <w:rFonts w:cs="Arial"/>
                <w:b w:val="0"/>
                <w:lang w:eastAsia="en-NZ"/>
              </w:rPr>
            </w:pPr>
            <w:r w:rsidRPr="00BE00C7">
              <w:rPr>
                <w:rFonts w:cs="Arial"/>
                <w:b w:val="0"/>
                <w:lang w:eastAsia="en-NZ"/>
              </w:rPr>
              <w:t>ii) The PCCPs are not consistently evaluated within the required six month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required timeframes of service delivery (assessment, care planning and evaluation) to be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Holmwood Rest Home</w:t>
    </w:r>
    <w:bookmarkEnd w:id="58"/>
    <w:r>
      <w:rPr>
        <w:rFonts w:cs="Arial"/>
        <w:sz w:val="16"/>
        <w:szCs w:val="20"/>
      </w:rPr>
      <w:tab/>
      <w:t xml:space="preserve">Date of Audit: </w:t>
    </w:r>
    <w:bookmarkStart w:id="59" w:name="AuditStartDate1"/>
    <w:r>
      <w:rPr>
        <w:rFonts w:cs="Arial"/>
        <w:sz w:val="16"/>
        <w:szCs w:val="20"/>
      </w:rPr>
      <w:t>26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