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Wilding International Limited - Armourdene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Wilding International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Armourdene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March 2018</w:t>
      </w:r>
      <w:bookmarkEnd w:id="7"/>
      <w:r w:rsidRPr="009418D4">
        <w:rPr>
          <w:rFonts w:cs="Arial"/>
        </w:rPr>
        <w:tab/>
        <w:t xml:space="preserve">End date: </w:t>
      </w:r>
      <w:bookmarkStart w:id="8" w:name="AuditEndDate"/>
      <w:r w:rsidR="00A4268A">
        <w:rPr>
          <w:rFonts w:cs="Arial"/>
        </w:rPr>
        <w:t>2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Armourdene rest home provides rest home level care for up to 28 residents.  On the day of the audit there were 27 residents.  The rest home is privately owned and operated by a managing director for 14 years.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and staff.  </w:t>
      </w:r>
    </w:p>
    <w:p w:rsidRPr="00A4268A">
      <w:pPr>
        <w:spacing w:before="240" w:line="276" w:lineRule="auto"/>
        <w:rPr>
          <w:rFonts w:eastAsia="Calibri"/>
        </w:rPr>
      </w:pPr>
      <w:r w:rsidRPr="00A4268A">
        <w:rPr>
          <w:rFonts w:eastAsia="Calibri"/>
        </w:rPr>
        <w:t>The owner/managing director is supported by a full-time administration manager, a full-time and part-time registered nurse.  They are supported by caring and long-serving staff.  Residents and family interviewed were complimentary of the care and services they receive.</w:t>
      </w:r>
    </w:p>
    <w:p w:rsidRPr="00A4268A">
      <w:pPr>
        <w:spacing w:before="240" w:line="276" w:lineRule="auto"/>
        <w:rPr>
          <w:rFonts w:eastAsia="Calibri"/>
        </w:rPr>
      </w:pPr>
      <w:r w:rsidRPr="00A4268A">
        <w:rPr>
          <w:rFonts w:eastAsia="Calibri"/>
        </w:rPr>
        <w:t xml:space="preserve">This certification audit identified areas for improvement around internal audits, adverse events, timeframes, interventions, implementation of care, medication documentation, medication competency, self-medicating, food service and maintenance in the kitchen.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Armourdene staff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quality improvement processes.  Policies and procedures have been reviewed to reflect best practice.  Quality data is collated for infections, accident/incidents, concerns and complaints.  Quality data is discussed at meetings and is documented in minutes.  Adverse, unplanned and untoward events are documented by staff.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Residents/relatives confirmed the admission process and the admission agreement was discussed with them.  The registered nurse is responsible for each stage of service provision.  The assessments and care plans are developed in consultation with the resident and their whānau/support person.  The GP reviews the resident at least three monthly.     </w:t>
      </w:r>
    </w:p>
    <w:p w:rsidRPr="00A4268A" w:rsidP="00621629">
      <w:pPr>
        <w:spacing w:before="240" w:line="276" w:lineRule="auto"/>
        <w:rPr>
          <w:rFonts w:eastAsia="Calibri"/>
        </w:rPr>
      </w:pPr>
      <w:r w:rsidRPr="00A4268A">
        <w:rPr>
          <w:rFonts w:eastAsia="Calibri"/>
        </w:rPr>
        <w:t xml:space="preserve">An activity coordinator is employed five days a week.  The activities offered are a reflection of the residents group and individual recreational preferences.  Community links are maintained.    </w:t>
      </w:r>
    </w:p>
    <w:p w:rsidRPr="00A4268A" w:rsidP="00621629">
      <w:pPr>
        <w:spacing w:before="240" w:line="276" w:lineRule="auto"/>
        <w:rPr>
          <w:rFonts w:eastAsia="Calibri"/>
        </w:rPr>
      </w:pPr>
      <w:r w:rsidRPr="00A4268A">
        <w:rPr>
          <w:rFonts w:eastAsia="Calibri"/>
        </w:rPr>
        <w:t xml:space="preserve">Medication policies reflect legislative requirements and guidelines.   </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There is dietitian review of the four-weekly menu.  The cooks are trained in food safety and hygiene.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Armourdene rest home has a current building warrant of fitness.  There is adequate room for residents to move freely about the home using mobility aids if required.  Communal areas are spacious and well utilised for group and individual activity.  All bedrooms have hand basins.  There are adequate numbers of communal toilets and showers.  Outdoor areas are readily accessible and safe.  There is outdoor seating and shade.  There is adequate equipment for the safe delivery of care.  Emergency systems and supplies are in place in the event of a fire or external disaster.  There is a staff member trained in first aid on duty 24 hours.  Chemicals are stored safely.  The service maintains a tidy, clean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Staff receive regular education and training on restraint minimisation.  No restraint or enabler was in use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has responsibility for infection control across the service.  The infection control coordinator has completed infection control education and coordinates education and training for staff.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1"/>
        <w:gridCol w:w="1280"/>
        <w:gridCol w:w="9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care staff interviewed (four caregivers, one registered nurse and one activities coordinator) could describe how the Code is incorporated into their everyday delivery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Discussions are held with the resident and their whānau or representative regarding informed consent, choice and options regarding clinical and non-clinical services.  Written informed general consents were sighted in the six resident files sampled.  Resuscitation forms were appropriately signed by the resident and general practitioner (GP).  </w:t>
              <w:br/>
              <w:t xml:space="preserve">Signed admission agreements were sighted.  </w:t>
              <w:br/>
              <w:t xml:space="preserve">Discussion with residents and relatives identified that the service actively involves them in decisions that affect the lives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displayed at the main entrance.  Residents and family interviewed were aware of the role of advocacy services and their right to access support.  The complaints process is linked to advocacy services.  An age concern advocate supports residents without family available to act as advocates.  Staff receive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encourages their residents to maintain their relationships with friends and community groups.  Residents may have visitors of their choice at any time.  Assistance and transport is provided by the service to ensure that the residents participate safely as desired in community groups such as the library, inter-home competitions, Cossie club, RSA, age concern.  Visitors to the home include (but not limited to); age concern, hospice, church groups, entertainers and the RSA coordinator visits servicemen or women at the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complaints officer (administration officer) leads the investigation of any concerns/complaints in consultation with the RN for clinical concerns/complaints.  Concerns/complaints are discussed at the monthly staff meetings as sighted in the meeting minutes.  Complaints forms are visible.  There have been six verbal concerns (five from resident meetings and one relative concern).  These have been managed appropriately and outcomes communicated to the residents/relative.  There have been no written complaints.  Residents and families interviewed are aware of the complaints process.  The complaints policy is attached to the admission agreement.  A complaints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readily available to new residents and their families.  The administration manager or registered nurse discusses aspects of the Code with residents and their family on admission.  Discussions relating to the Code are also held during the resident meetings.  Six residents and two family members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reported that they knock on bedroom doors prior to entering rooms as observed on the days of audit.  Care staff confirmed they promote the residents' independence by encouraging them to be as active as possible.  Residents and families interviewed, and observations during the audit confirmed that the residents’ privacy is respected.  Double rooms have privacy curtains in place.  Guidelines on abuse and neglect are documented in policy.  Staff receive education and training on abuse and neglect and cultural awareness, which begins during their induction to the service.  The service received an endorsement from Age Concern for Dignity Champion, as the service provides emergency support for vulnerable persons.  The residents’ personal belongings are not used communally.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is committed to ensuring that the individual interests, customs, beliefs, cultural and ethnic backgrounds of Māori are valued and fostered within the home.  The care staff interviewed reported that they value and encourage active participation and input from the family/whānau in the day-to-day care of Māori residents.  The care plans of two residents who identified as Māori have documented their cultural values and beliefs.  The home has access to local Kaumātua and Kuia (one of whom is a Māori resident).  Māori residents are supported to attend weekly sessions at Ruaawaawa Kaumātua Charitable Trust.  The rest home managing director/owner is of Māori descent and actively supports Māori residents and their families.  Some staff are able to communicate in Te Reo with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identifies the residents’ personal needs, culture, values and beliefs at the time of admission.  This is achieved in collaboration with the resident, whānau/family and/or their representative.  Beliefs and values are incorporated into the residents’ care plans in the six resident files reviewed.  Residents and family/whānau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caregivers’ role and responsibilities.  Staff sign a code of conduct and confidentiality clause on employment.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available Monday to Friday, one weekend day per week and on-call after hours.  Staff attend training relevant to their roles.  Policies and procedures reflect best practice.  Resident meetings are held monthly, providing residents an opportunity to feedback on all areas of service.  Residents and family/whānau interviewed reported that they are very satisfied with the services received.  A resident/family satisfaction survey is completed annually and confirmed satisfaction with the services received.  The service was awarded an Age Concern Dignity award based upon their personality, business model and culture of caring for the less fortunate in the aged care sector.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Residents interviewed confirmed the admission process and agreement was discussed with them and they were provided with adequate information on entry.  Incident forms reviewed identified family were notified following a resident incident.  The RN confirmed family are kept informed.  Family members interviewed confirm they are notified promptly of any incidents/accidents and are informed of any GP visits and outcomes.  The managing director/owner is on-site daily and operates an open-door policy to meet with residents/family at any time on non-clinical matters.  A RN is available to families for discussion regarding clinical matters.  Interpreters can be accessed as required.  The code of rights is translated into Māori and Chinese.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Armourdene rest home provides care for up to 28 rest home level residents.  There were 27 residents on the day of audit including one short-stay resident under a Compulsory Treatment order and a private payer (non-assessed) under 65 years.  The rest home has been privately owned since 2004.  The owner/managing director also has a supported living facility nearby.  The service has a small “tight” team of long serving staff that provide a restorative approach to care and a personalised service in a small and homely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strategic business includes the mission statement and philosophy of care focused around a restorative approach to care, encouraging independence and maintaining links with the community.  The business plan has been reviewed with 2018 quality goals in place including maintaining good occupancy and aiming for 100% resident/relative satisfaction results.   The service goals include (i) providing and maintain a high-quality service that is reflective in resident’s physical, emotional, spiritual and mental wellbeing and (ii) To continue a Restorative approach to care to promote the resident’s ability to adapt and adjust to living as independently and safely as is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owner/managing director is supported by a non-clinical administration manager and a full-time registered nurse (RN) Monday to Friday and part-time RN two days per week and one weekend day (Saturday or Sunday).  The full-time RN has resigned and is currently orientating another RN to the full-time role.  The owner/managing director and administration manager attend the quarterly ARCC forums as able.  The administration manager attends on-site education and has attended a programme Agewise 2017 study day and manages interRAI training.  She is registered to attend a leadership study day at the DHB in March 2018.  The owner/manging director has an extensive background in business and human resource management and provides mentorship for the administration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owner/managing director is available 24 hours.  A relieving accounts/wages person provides cover for any planned periods of leave for the owner.  The owner covers the administration managers leave.  The RNs share the on-call requirement and cover for each other’s study days and annual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Armourdene quality improvement processes.  Policies and procedures are reviewed by the relevant person with external advice to ensure policy meets best practice, for example, clinical policies are reviewed by the RNs in consultation with DHB practice nurses as required.  Staff are introduced to new/reviewed policies at the monthly staff meetings and sign to declare they have read them.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incident and accident reporting, health and safety reporting, infection control data, surveys and complaints management, however the internal audit schedule has not been completed as scheduled.  Data that is collected is analysed and compared monthly for a range of adverse event data (e.g., skin tears, bruising, falls, challenging behaviours and medication errors).  Corrective actions are documented and implemented where improvements are identified (link 1.2.4.3).  Information is shared with all staff as confirmed in the monthly staff meeting minutes and during interviews.  The owner/managing director and administration manager attend the staff meetings.  Where required the owner/managing director will provide a written report on operational matters to the staff meeting (as sighted).  The owner/managing director is on-site daily and communicates regularly with all staff.  There are monthly cooks’ meetings.  Monthly resident meetings give the residents opportunity to discuss all areas of the services provided and there is documented evidence of any areas of concern being addressed and fed back at the meetings, including outcomes of surveys last completed February 2018.  All residents and families were very satisfied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2018 risk management plan is in place.  Staff receive health and safety training and watch a video as part of their induction.  All staff are involved in health and safety, which is a topic in the monthly staff meetings.  Actual and potential risks are documented on the hazard register, which identifies and documents actions to eliminate or minimise the risk.  Falls management strategies are developed and documented in the resident care plan for each resident who is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however, three of six incidents reports reviewed did not evidence any RN follow-up.  Incident/accident data is linked to the organisation's quality and risk management programme and discussed at monthly staff meetings.  Neurologic observations had been commenced for three residents with suspected head injuries, but these had not been completed as per policy timeframes.  The owner/managing director reported he is aware of the responsibility to notify relevant authorities in relation to essential notifications.  There had been reportable events and there have not been any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(two registered nurses including the orientating RN, two caregivers, one activity coordinator and one cook) contained all relevant employment documentation.  The recruitment and staff selection process requires that relevant checks are completed to validate the individual’s qualifications, experience and suitability for the role.  Performance appraisals were current.  Current practising certificates were sighted for the RNs, pharmacy, physiotherapist and general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 senior caregiver is designated for the orientation of staff providing consistency of orientation information and procedures.  Staff interviewed believed new staff were adequately orientated to the service on employment.  An annual training programme is implemented monthly in conjunction with staff meetings and attendance records are maintained.  Training evaluations are completed to identify further learning opportunities.  The administration manager is in the process of implementing the on-line learning modules for staff.  Clinical staff complete competencies relevant to their role including medication competencies and manual handling.  The RN has attended DHB skills workshops as offered.  The orientating RN is registered to attend a DHB workshop on advance care planning and interRAI training.  The orientating RN is registered to attend interRAI training.  The part-time RN is interRAI trained.  Some staff are in the process of completing the University of Tasmania dementia care course.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There is a RN Monday to Friday and some part-time RNs three days a week including either a Saturday or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(7.30 am to 4.00 pm) there are two caregivers on the full shift and one from 7.00 am to 10.30 am to assist with showers.  There are two caregivers on the full afternoon shift (4.00 pm to midnight) and one from 4.00 pm to 6.30 pm to assist with the preparation and serving of the evening meal.  On night shift there are two caregivers on duty.  The RN on call is written in the communication diary.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complete laundry duties over the three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inform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each resident’s individual record.  Personal resident information is kept confidential and cannot be viewed by other residents or members of the public.  Residents’ files are protected from unauthorised access by being held in secure rooms.  Archived records are kept secure in a separate locked area.  Residents’ files demonstrate service integration.  Entries are legible, dated, timed and signed by the relevant caregiver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needs assessment is required prior to entry for rest home level of care.  The registered nurse (RN) is responsible for the screening of residents to ensure entry is appropriate.  Six residents and two relatives interviewed state they received all relevant information prior or on admission.  </w:t>
              <w:br/>
              <w:t>The admission agreement reviewed aligns with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(interviewed) described the transfer documentation that is sent with the resident for discharge and transfers.  The yellow envelope system is used for transfers to the local DHB.  Families were informed of transfers and encouraged to accompany the resident to hospital.  A staff member escorts residents to hospital as required.  Follow-up occurs to check that the resident is settled, or in the case of death, communication with the family is made and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supplying pharmacy delivers the medication robotic packs fortnightly or earlier if required.  Advised that all medications are checked on delivery by the RN against the medication chart, however, there is no documented evidence of this being maintained at the site.  Pharmacy errors are fed back to the supplying pharmacy.  Care staff who administer medications have been assessed for competency on an annual basis, however, the RNs did not have medication competencies.  Education around safe medication administration has been provided annually.  Medications were stored safely.  The medication fridge has temperature checks weekly and corrective actions are taken when temperatures are outside of the acceptable range.  All medications were within the expiry date.  The medication competent caregiver was observed during the lunchtime medicines round and correct procedures were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by the service.  Controlled medications are stored securely, however, there had not been consistent weekly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procedure is in place for the self-administration of medicines.  On the day of audit there was one resident self-medicating.  The GP has not signed the competency and there is no evidence of monitoring medications for the self-medicating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medications charts (paper-based) were reviewed.  Allergies or sensitivities are clearly noted on the medication administration chart.  Prescribing of medications met legislative requirements.  ‘As required’ medications had indications for use with the date and time of administration on the signing sheet.  Not all administration signing sheets corresponded with the medication chart.  The GP had not reviewed four of the twelve medication charts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are appropriate to the service setting with a seasonal four-weekly menu.  The menu was last reviewed by a dietitian in February 2018.  The food control plan has been submitted for verification and are awaiting a site audit before approval.  All baking and meals are cooked on-site at Armourdene rest home by cooks who have completed food safety training.  Dietary requirements are identified, documented and reviewed on a regular basis as part of the care plan review.  Special diets such as diabetic desserts, and alternative choices for dislikes are accommodated.  Interview with the cook confirmed that special diets and residents likes, and dislikes were accommodated.  The cook is notified of any residents with weight loss or dietary changes.  The service also provides “boil ups” on a regular basis as recommended by their Maori residents.  Cooked/served food temperatures are recorded prior to serving as part of the internal audit programme (records sighted).  Food is transported in hot serving dishes from the kitchen into the dining area (next to the kitchen) and plated by the cook for serving.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at least daily (sighted).  Corrective actions for temperatures outside of range are documented and re-tested.  Food stored in the fridge and chillers is covered and dated.  All foods were labelled, and the cook described rotation of the dry goods.  Dry goods are stored in sealed containers in the pantry and kept off the ground.  Expiry dates were not evident on the decanted food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suitable for the size of the service and includes areas for food preparation, baking and cooking.  Several areas of the kitchen were noted to be in need of repair (link 1.4.2.1).  Chemicals are stored safely.  Cleaning schedules were sighted, however, there was no documented evidence of these having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Residents can feedback on the food services at the residents meeting.  Residents/relatives interviewed generally spoke positively about the food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‘Planning’ policy covers both accepting and declining entry to service.  The referral agency and potential resident and/or family member would be informed of the reason for declining entry.  The policy outlines potential reasons for declining entry such as there are no beds available or where the acceptance of the admission could potentially affect other residents, or the home cannot provide the level of care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responsible for completing the first interRAI assessments and six monthly as part of the long-term care plan evaluation (link 1.3.3.3).  Initial assessments had been completed within 24 hours of admission including the short-term resident.  A range of risk assessment tools are available for use on admission and had been reviewed six monthly as applicable, including (but not limited to); a) falls risk (Coombes), b) pressure injury risk assessment, c) pain assessment, d) dietary profile, e) cognitive assessment and depression scale, f) wound assessment and g) behaviour assessment.  The outcomes and supports identified in assessments were reflected in the long-term care plans of three of five long-term resident files reviewed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support plan is completed within 24 hours in consultation with the resident/relative or support person.  In addition, care staff record support required and provided to the resident on their shift.  This information helps to inform the long-term care plans.  Two of five long-term resident care plans reviewed included nursing diagnosis and the required support and interventions to meet the resident goals.  Short-term care plans were used to document short-term changes in health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Resident/family/whānau involvement in the care planning process was evidenced by signatures on the care plan.  Record of family notification of care plan reviews was documented on the family notification form in the resident files.  Caregivers interviewed were knowledgeable regarding resident cares, care plans and communication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reported that residents’ individual needs were appropriately met, and they were kept informed of any changes to resident’s health status and GP visits.  Family communication sheets were sighted in resident files and are maintained by nursing and care staff.  There is evidence that family members were notified of any changes to their relative’s health including (but not limited to), accident/incidents, infections, health professional visits and changes in medications.  When a resident's condition alters, the RN initiates a review by the GP.  Caregivers reported that they are informed of any changes in health status at handover.  Short-term care plans are used to document short-term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is access to the wound nurse specialist (WNSp) from the DHB for advice on wound management if required.  Referrals to the WNSp are initiated in discussion with the resident’s GP.  Wound documentation for two residents with skin tears was reviewed.  Both wounds had an initial wound assessment and management plan, however, not all wound documentation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Documentation evidenced RN oversight of resident care, additional assessments and/or monitoring records were sighted.  However, not all monitoring charts had been completed as instructed by the care plans.</w:t>
            </w:r>
          </w:p>
          <w:p w:rsidR="00EB7645" w:rsidRPr="00BE00C7" w:rsidP="00BE00C7">
            <w:pPr>
              <w:pStyle w:val="OutcomeDescription"/>
              <w:spacing w:before="120" w:after="120"/>
              <w:rPr>
                <w:rFonts w:cs="Arial"/>
                <w:b w:val="0"/>
                <w:lang w:eastAsia="en-NZ"/>
              </w:rPr>
            </w:pPr>
            <w:r w:rsidRPr="00BE00C7">
              <w:rPr>
                <w:rFonts w:cs="Arial"/>
                <w:b w:val="0"/>
                <w:lang w:eastAsia="en-NZ"/>
              </w:rPr>
              <w:t>Observation charts and monitoring records were in place for pain, seizures, fluid monitoring and falls (link 1.2.4.3).  A shortfall was identified around the monitoring of weight, monthly observations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been in the role at Armourdene for 16 months.  She has two years’ experience in aged care sector in a similar role.  The activities coordinator works 30 hours per week Monday to Friday, however, when there is a community event (festival or tournament) on during a weekend day that the residents are interested in, she is able to be flexible with her work days/time in order to take residents to these events.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provides a sufficient range of planned activities to maintain resident’s strengths and interests, which include the involvement of the residents with the community for example Probus club, Cossie club, museums and community festivals.  Resident’s social history and their preferred activities were identified on admission and these were documented in the resident’s file.  Van outings occur at least weekly.  Residents and family interviews confirm that the activities programme includes input from external agencies and supports ordinary unplanned/spontaneous activities including festive occasions and birthday celebrations.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activity plans have been reviewed at least six monthly.  Activities progress notes and attendance records are maintained.  The monthly and weekly programme is regularly reviewed by the activities coordinator in conjunction with the residents.  Feedback on the programme is sought during the monthly resident meetings and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against resident goals is conducted by the RNs with input from the resident, family, caregivers, activities coordinator and the GP.  Families are notified of any changes in the resident’s ability to meet their desired goals.  Residents/relatives interviewed confirmed their participation in care plan evaluations.  There is recorded evidence of additional input from specialist or multidisciplinary sources if this is required.  There is at least a three-monthly review by the GP for medically stable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short-term changes in health status and had been reviewed, resolved or if an ongoing problem, transferred to the long-term care plan.  Not all long-term care plans had been evaluated six monthly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reviewed.  The service facilitates access to other medical and non-medical services.  Referral documentation is maintained on resident files.  Examples of referrals sighted are; diabetes clinic, ophthalmologist, mental health services and age concern.  Residents' files evidence referral letters to specialists and other health professionals.  There were no residents at the time of audit requiring re-assessment for higher level of care.  </w:t>
              <w:br/>
              <w:t xml:space="preserve">Discussions with the RN identified that the service has access to nursing specialists such as wound and continence, gerontology nurse, mental health nurse, a dietitian, physiotherapist and social worker should they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waste management policies and procedures for the safe disposal of waste and hazardous substances.  All chemicals were stored safely throughout the facility.  There is an incident reporting system that includes investigation of incidents.  Safety datasheets were readily accessible.  There was appropriate protective equipment and clothing for staff.  Staff attend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4 August 2018.  The owner/managing director oversees the repairs and maintenance for the building.  Staff record requests for repairs in a maintenance request book that is checked daily and actioned.  There is a planned maintenance schedule in place.  Bedrooms have been refurbished as they become vacant.  Environmental improvements include the replacement of carpet in the lounge, entrance way and some bedrooms and an upgrade of shower and toilet facilities.  The kitchen surfaces and flooring require attention.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Annual calibration of chair scales, clinical equipment and electrical testing and tagging of equipment is completed by external contractors (last December 2017).  Hot water temperatures are checked six weekly and maintained below 45 degrees Celsius.  Corrective actions and adjustments have been made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to safely deliver the cares as outlined in the residents’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basins.  There are adequate numbers of communal toilets and showers.  There is safe flooring, seating and hand rails appropriately placed in the shower rooms.  There are signs to indicate if the toilets/showers are in use.  Residents interviewed confirmed staff provide the resident with privacy when attending to personal hygiene cares.  The flooring in each of the communal showers had recently undergone an upgrade.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single rooms and three double rooms.  The double rooms have privacy curtains.  The bedrooms are personalised (as viewed) and spacious enough for residents to move safely around the room with the use of mobility aids.  The staff report there is adequate space to carry out the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easy access to the communal areas.  There are two lounges and a separate dining area.  Activities occur in communal areas.  Residents were observed moving safely between their bedrooms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cleaner employed for four hours, Monday to Friday, to complete cleaning duties.  The cleaner’s trolley is stored in a locked area when not in use.  The laundry has a defined area for clean and dirty laundry duties.  The caregivers also undertake laundry duties.  The chemical provider completes monthly quality control checks on the effectiveness of chemical use.  Residents interviewed expressed satisfaction overall with the cleaning and laundry service.  Personal protective equipment is available for cleaning and laundry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disaster policies and procedures are documented for the service.  Fire drills occur every six months (last fire drill occurred on 9 January 2018).  The orientation programme and annual education/training programme include fire and security training.  Staff also review a fire safety video as part of their induction to the facility.  There is a fire evacuation scheme approved by the fire service 5 August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emergency power back-up, food, barbeque for alternative cooking, 25,000 litre water tank and civil defence supplies.  A call bell system is in place, including all resident rooms and communal areas.  All staff have a current first aid certificate.  The building is secure after hours with sensor lighting at the main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natural light in all communal rooms.  Bedrooms have at least one window and some bedrooms open out onto the deck.  There is gas heating in communal areas and electric panel heaters in bedrooms that can be individually controlled.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responsibility for infection control which is described in the job description.  The infection control coordinator oversees infection control for the service and is responsible for the collation of infection events.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infection control and prevention education through the professional recognition programme with the DHB.  There is access to infection control expertise within the DHB, the wound nurse specialist, and an external infection control consultant.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Staff complete hand hygiene competencies.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staff meeting.  Trends are identified and analysed, and preventative measures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restraints and enablers.  A registered nurse is the restraint coordinator.  There were no residents using restraints or enablers on the day of audit.  Staff receive training around restraint minimisation and complete a questionnaire.  Care staff interviewed were able to describe the difference between an enabler and a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4"/>
        <w:gridCol w:w="1280"/>
        <w:gridCol w:w="4902"/>
        <w:gridCol w:w="3683"/>
        <w:gridCol w:w="18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internal audit schedule that includes environmental and building, clinical, food services, laundry, infection control and restraint audits.  Not all clinical audits have been completed as scheduled.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manager completes the non-clinical audits as scheduled, completes a summary of audits, addresses any corrective actions and reports outcomes at the monthly staff meeting.  Clinical audits have not been completed for 2017 as per the schedule including admissions, care plans, continence, medication infection control and safe manual handling.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clinical audits are completed by the RN as scheduled in the internal audit calendar.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incidents for the month of February were reviewed, which included four unwitnessed falls and two medication errors.  Not all incidents had been followed up by the RN and signed off.  Head injury observations had been commenced by care staff for three suspected head injuries but not completed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There was no documented evidence of RN follow-up for three of six incidents (two unwitnessed falls and one medication error).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Head injury observations for three unwitnessed falls with suspected head injury had not been completed as per protocol.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there is a clinical assessment and follow-up completed for all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head injury observations are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advised that they check medications on delivery against the medication chart, however, there is no documented evidence to support this.  Not all administration signing sheets reviewed corresponded with the medication charts.  The restricted medication register evidenced two medication competent staff had checked and signed for the administration of restricted medications.  The GP had not reviewed all the medication charts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evidence on delivery of medications reconciled against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(ii)   Four of twelve medication charts had signing gaps around administration of inhalers and medications when on leave and signing sheets did not correspond with the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(iii)   Restricted medication weekly checks had not been completed for the month of January 2018 and part of December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GP had not reviewed four of twelve medication charts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evidence of medicine reconciliation is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medications are signed when administered or ‘the reason not given’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weekly checks of restricted medications are completed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GPs review the medication charts at least three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of medication during the lunchtime round was observed and administration procedures were compliant with policy.  All caregivers had completed medication competencies and annual medication education.  Three RNs had not completed a medication competency.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long-serving RN did not have an annual medication competency completed.  Two newly appointed RNs did not have medication competency completed.  One RN who was orientating on the day of audit was administering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RNs complete annual medication competencies.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Armourdene rest home facilitates self-medication and one resident was currently responsible for administration of inhalers and body creams.  These were kept safely within the resident’s room, however, the monitoring of self-administration medicines on a regular basis, was not recorded.  The resident confirmed that staff did check that he was taking the medications.  The policy states the GP will sign to declare the resident is competent to self-administer.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resident who was self-administering.  The assessment completed by the RN did not evidence GP input as per policy.  The monitoring of self-administration of the residents’ inhalers and creams was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documented evidence of GP input into the assessment of self-medicating residents and there is documented evidence of monitoring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appropriate to the size of the facility.  Dry goods were stored in the facility off the ground and the cook explained rotation of all dry goods.  Decanted dry goods did not have expiry dates.  There are two fridges and a standing freezer.  There are designated shelves within the fridges for dairy, meat and vegetable/grocery items.  Kitchen fridge/freezer temperatures and food temperatures are monitored at least daily (sighted).  There is a cleaning schedule for the kitchen, however, there is no records to demonstrate this has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of the dry goods that had been decanted into sealed containers had an expiry date recorded on the container.  (ii)  Cleaning schedules for the kitchen are not documented as being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dry goods decanted from manufacturers packing have an expiry date recorded on them.  (ii)  Ensure the kitchen cleaning schedule is documented as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were completed within 24 hours of admission in the six resident files reviewed including the short-term care resident.  First interRAI assessments and long-term care plans had not been developed within the required timeframes.  The interRAI assessment had been utilised six monthly for three long-term residents.  Long-term care plans had been evaluated for two long-term care residents.  The short-term care resident was not required to have an interRAI assessment.  The risk was considered to be low, as all interRAI assessments and care plans were current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The interRAI assessments had not been completed within 21 days for two long-term residents.  InterRAI assessments had not been utilised six monthly for two long-term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Four of five long-term resident care plans had not been completed within 21 days and not evaluated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interRAI assessments and care plans are completed within contracted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using assessment tools including interRAI (link 1.3.3.3.), the seven-day initial support assessment, discharge summaries, GP consultation, consultation with family, resident, staff and support persons as applicable.  Care plans completed by an RN are goal orientated and reviewed at six monthly intervals (link 1.3.3.3).  Not all the care plans including the short-stay resident plan, fully described the interventions required to support the residents identified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long-term care plans and one short-stay care plan did not include the required support and interventions to meet the resident goals for: (i)  Management of anxiety/restlessness and shortness of breath.  (ii)  There was no challenging behaviour management plan in place including triggers and interventions.  (iii)  There were no documented early warnings signs/symptoms of declining mental health for one short-term care resident under CTO.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document required supports and interventions to reflect the residents’ current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management plans were in place for two residents with skin tears, however not all documentation was complete.  The residents weight and observations are required to be completed monthly, however, there was no evidence of monthly recordings being completed.  One resident with known behaviours as documented in the progress notes, had no monitoring chart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shortfalls were identified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(i)  There were no monthly weight and observation records in four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was no behaviour monitoring chart in place for one resident with challenging behaviours as reported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frequency of dressing changes and evaluations for two of two wounds had not been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weight and observations are taken and recorded monthly.  (ii) Ensure behaviour monitoring is implemented for residents with behaviours.  (iii) Ensure wound documentation evidences evaluation and frequency of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an upgrade to shower/toilet facilities to meet infection control standards.  The planned maintenance plan includes refurbishment of bedrooms as they become vacant.  The owner employs a part-time painter as required.  The kitchen cupboard surfaces and flooring require attention.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paint is worn on kitchen cupboard surfaces leaving them porous.  The flooring surfaces are worn and cracked in areas.  The kitchen requires repairs to ensure infection control standards are being met.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kitchen surfaces are sealed to meet infection control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Wilding International Limited - Armourdene Rest Home</w:t>
    </w:r>
    <w:bookmarkEnd w:id="58"/>
    <w:r>
      <w:rPr>
        <w:rFonts w:cs="Arial"/>
        <w:sz w:val="16"/>
        <w:szCs w:val="20"/>
      </w:rPr>
      <w:tab/>
      <w:t xml:space="preserve">Date of Audit: </w:t>
    </w:r>
    <w:bookmarkStart w:id="59" w:name="AuditStartDate1"/>
    <w:r>
      <w:rPr>
        <w:rFonts w:cs="Arial"/>
        <w:sz w:val="16"/>
        <w:szCs w:val="20"/>
      </w:rPr>
      <w:t>1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