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Cambridge Limited - Lifecare Cambridge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Cambridge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Lifecare Cambridge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2018</w:t>
      </w:r>
      <w:bookmarkEnd w:id="7"/>
      <w:r w:rsidRPr="009418D4">
        <w:rPr>
          <w:rFonts w:cs="Arial"/>
        </w:rPr>
        <w:tab/>
        <w:t xml:space="preserve">End date: </w:t>
      </w:r>
      <w:bookmarkStart w:id="8" w:name="AuditEndDate"/>
      <w:r w:rsidR="00A4268A">
        <w:rPr>
          <w:rFonts w:cs="Arial"/>
        </w:rPr>
        <w:t>29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Lifecare Cambridge Ltd provides residential respite services, and rest home and hospital level care to a maximum of 59 residents. There were 43 beds occupied on the day of this unannounced surveillance audit. The manager stated there have been no changes to the scope and size of the services provided since the 2016 certification audit.</w:t>
      </w:r>
    </w:p>
    <w:p w:rsidRPr="00A4268A">
      <w:pPr>
        <w:spacing w:before="240" w:line="276" w:lineRule="auto"/>
        <w:rPr>
          <w:rFonts w:eastAsia="Calibri"/>
        </w:rPr>
      </w:pPr>
      <w:r w:rsidRPr="00A4268A">
        <w:rPr>
          <w:rFonts w:eastAsia="Calibri"/>
        </w:rPr>
        <w:t xml:space="preserve">This audit was conducted against a subset of the Health and Disability Services Standards and the provider’s contract with the Waikato District Health Board (WDHB). Additional standards criteria were verified by request of a portfolio manager. These are responded to in the relevant standards. </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members, management, staff, the contracted physiotherapist and a pharmacy technician. The general practitioner (GP) who is most available ‘on call’ was interviewed by telephone. This person confirmed there is an agreement in place with Lifecare to be available on call 24 hours a day, seven days a week. This GP expressed satisfaction with the care and services being provided.</w:t>
      </w:r>
    </w:p>
    <w:p w:rsidRPr="00A4268A">
      <w:pPr>
        <w:spacing w:before="240" w:line="276" w:lineRule="auto"/>
        <w:rPr>
          <w:rFonts w:eastAsia="Calibri"/>
        </w:rPr>
      </w:pPr>
      <w:r w:rsidRPr="00A4268A">
        <w:rPr>
          <w:rFonts w:eastAsia="Calibri"/>
        </w:rPr>
        <w:t>Eight of the nine areas requiring improvement from the previous certification audit (in quality and risk management, consumer records and infection control) have been addressed. One area related to evaluation of corrective actions remains open. Three new areas of noncompliance were identified. These concern an overdue interRAI assessment, medicines management and safe storage of chemicals.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Staff provide residents and families with the information they need to make informed choices and give consent. </w:t>
      </w:r>
    </w:p>
    <w:p w:rsidRPr="00A4268A">
      <w:pPr>
        <w:spacing w:before="240" w:line="276" w:lineRule="auto"/>
        <w:rPr>
          <w:rFonts w:eastAsia="Calibri"/>
        </w:rPr>
      </w:pPr>
      <w:r w:rsidRPr="00A4268A">
        <w:rPr>
          <w:rFonts w:eastAsia="Calibri"/>
        </w:rPr>
        <w:t>The complaints process Code of Health and Disability Services Consumers’’ Rights.  The manager stated there have been no written complaints received. A complaint from a family member to the Office of the Health and Disability Commissioner in early 2017 was investigated and not substantiated.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service has implemented a new quality and risk management system which is working well for them and there is regular monitoring of all service areas.</w:t>
      </w:r>
    </w:p>
    <w:p w:rsidRPr="00A4268A">
      <w:pPr>
        <w:spacing w:before="240" w:line="276" w:lineRule="auto"/>
        <w:rPr>
          <w:rFonts w:eastAsia="Calibri"/>
        </w:rPr>
      </w:pPr>
      <w:r w:rsidRPr="00A4268A">
        <w:rPr>
          <w:rFonts w:eastAsia="Calibri"/>
        </w:rPr>
        <w:t xml:space="preserve">Adverse events are reported by all levels of staff. People impacted by an adverse event are notified (for example, general practitioners, other clinicians and families). Systems that ensure regulatory requirements related to notification reporting are effective. </w:t>
      </w:r>
    </w:p>
    <w:p w:rsidRPr="00A4268A">
      <w:pPr>
        <w:spacing w:before="240" w:line="276" w:lineRule="auto"/>
        <w:rPr>
          <w:rFonts w:eastAsia="Calibri"/>
        </w:rPr>
      </w:pPr>
      <w:r w:rsidRPr="00A4268A">
        <w:rPr>
          <w:rFonts w:eastAsia="Calibri"/>
        </w:rPr>
        <w:t xml:space="preserve">Staff are recruited and managed according to good employment practices. Staff training in relevant subject areas is occurring regularly. All staff are supported and encouraged to attend ongoing performance development and achieve educational qualifications related to care of older people. </w:t>
      </w:r>
    </w:p>
    <w:p w:rsidRPr="00A4268A">
      <w:pPr>
        <w:spacing w:before="240" w:line="276" w:lineRule="auto"/>
        <w:rPr>
          <w:rFonts w:eastAsia="Calibri"/>
        </w:rPr>
      </w:pPr>
      <w:r w:rsidRPr="00A4268A">
        <w:rPr>
          <w:rFonts w:eastAsia="Calibri"/>
        </w:rPr>
        <w:t>There is an adequate number of skilled and experienced staff on site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all interior and exterior areas are being maintained as safe.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and four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6"/>
        <w:gridCol w:w="1280"/>
        <w:gridCol w:w="100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apart from the complaint to HDC in February 2017 there have been no written complaints received since the previous certification audit in 2016. The HDC investigation into a complaint from a family member in early 2017 was not substantiated.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The manager described receiving verbal concerns from families which were followed up and improvements made. Evidence of this was seen in meeting minutes. It was suggested that verbal concerns be also recorded in the complaints register.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reports to the directors/owners showed adequate information to monitor performance is reported including occupancy, audit results, quality data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ten years. Responsibilities and accountabilities are defined in a job description and individual employment agreement.  The facility manager confirmed knowledge of the sector, regulatory and reporting requirements and maintains currency through attendance at forums, seminars and conferences relevant to the age care sector.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WDHB for residential respite, rest home and hospital services. Eight residents were receiving medical and hospital services, and 34 rest home and respite care at the time of audit. One resident was off site in Waikato Hospital. All residents were over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purchased and implemented a comprehensive and sector specific quality and risk system that reflects the principles of continuous quality improvement. This includes all policies and proforma for quality and risk plans, care plans, tools for management of incidents and complaints, audit activities, resident and family satisfaction surveys, monitoring of outcomes, and guidelines and tools for clinical incidents including infections, wounds and pressure injuries and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automatically populates inputted data for benchmarking with other care facilities. The owner of the system is providing ongoing support and guidance.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acquisition and effective use of the new quality system, verifies that five improvements required from previous audit which were related to quality and risk are now resolved. There is a well described and facility specific quality ad risk plan with goals that are monitored for progress, all quality data is automatically collated and categorised for easy analysis by the system and meeting minutes show that the results are being shared with staff.  Lifecare Cambridge is following the system schedule for internal audits of all service areas and applying the audit tools built into the system with good effect. These are helpful for staff to easily identify service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 required in criterion 1.2.3.8 is ongoing. Although corrective actions are developed and implemented there is a failure in evaluating the effectiveness of the corrective actions to ensure the noncompliance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and risk/health and safety team meetings, RN and staff meetings. Staff reported their involvement in quality and risk management activities through audit activities and training in the policies and procedures. Relevant corrective actions are developed and implemented to address any shortfalls. Resident and family satisfaction surveys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reports reviewed showed these were recorded clearly, that causative factors were identified and then isolated, minimised or eliminated where possible.  These were being signed off by the facility manager (sometimes on the same day they occurred) without any evidence that corrective actions had been effective.  Refer to the improvement required in criterion 1.2.3.8 regarding implementing and evaluating corrective actions.  Adverse event data is now collated, analysed for month by month trends and reported at quality/health and safety and RN and staff meetings. This data is now being benchmarked with other care facilities around the country.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understands essential notification reporting requirements, including for pressure injuries.  They advised there have been no notifications of significant events made to the Ministry of Health, or WDHB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all documents related to residents contain uniquely identifying information.  This has been addressed and records were available to demonstrate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paper-based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not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GP review was consistently recorded on the medicine chart.   No residents were self-administering medications at the time of audit.                  Good prescribing practices were not always evident for all resident’s medication charts which included the prescriber’s signature and date recorded on the discontinuation of short course medicines and all requirements for pro re nata (PRN) medicines.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three cooks and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facility operates with an approved food safety plan and registration issued by the local city council and expires 8 February 2019.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facility also provides 40-50 daily ‘meals on wheels’ for clients in the community and are delivered by volunteers.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One ‘house doctor’ interviewed, verified that medical input is sought in a timely manner, that medical orders are followed, and care is excellent. The facility is supported by a total of nine GP’s who visit from five medical centres in Cambridge.  The general manager interviewed stated that all GP’s hold an afterhours component but if the resident’s GP is unable to be contacted after hours the facility will call the after-hours medical centre in Hamilton and seek advice.  </w:t>
            </w:r>
          </w:p>
          <w:p w:rsidR="00EB7645" w:rsidRPr="00BE00C7" w:rsidP="00BE00C7">
            <w:pPr>
              <w:pStyle w:val="OutcomeDescription"/>
              <w:spacing w:before="120" w:after="120"/>
              <w:rPr>
                <w:rFonts w:cs="Arial"/>
                <w:b w:val="0"/>
                <w:lang w:eastAsia="en-NZ"/>
              </w:rPr>
            </w:pPr>
            <w:r w:rsidRPr="00BE00C7">
              <w:rPr>
                <w:rFonts w:cs="Arial"/>
                <w:b w:val="0"/>
                <w:lang w:eastAsia="en-NZ"/>
              </w:rPr>
              <w:t>Registered and care staff confirmed that care was provided as outlined in the documentation and that they have after hours support from either the general manager/RN or clinical nurse leader.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activity co-ordinator.  The activities co-ordinator support residents Monday to Friday from 8.30am to 4.00pm.  After hours and in the weekends, staff have access to activities and integrate daily living with activities while supporting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offered at times when residents are most physically active and/or restless and the activities calendar remains flexible to accommodate the residents’ day to day preferences.  The facility offers a van trip three times a week.  Families interviewed confirmed they find the programme excellent and stimulating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in conjunction with the six-monthly interRAI reassessment, or as residents’ needs change.   Where progress is different from expected, the service responds by initiating changes and updates to the care plans. This was observed at the time of audit for the five residents’ files reviewed. Examples of short term care plans being consistently reviewed and progress evaluated as clinically indicated were noted for infections and challenging behaviours.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16 June 2018) is publicly displayed in the foyer of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revealed at least four chemical bottles (for example, deodorizer and a high strength cleaning product) hanging off the handrails throughout the facility. Two other bottles were also found in one of the communal shower rooms. These were immediately removed.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portfolio manager requested that this audit verify that all call bells are in place and working and that there is a contingency plan in place for instances in which a call bell is ‘out of order’. Visual inspection and staff interview revealed that a faulty call bell had been identified (via staff carrying out routine checking) in the days leading up to audit. This had been attended to by an electrician who took the bell away for parts and repair. A replacement call bell was installed. On the day of audit, the replacement call bell faltered and the electrician was recalled immediately. The resident was provided with a hand held bell and all staff were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the infection control nurse/coordinator completes infection control education.  This corrective action has now been addressed and evidence was provided showing that the infection control nurse attended external training for infection control in April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eye, skin/soft tissue, influenza, urinary tract infection (with or without an indwelling catheter), lower and upper respiratory tract infections, and gastroenteritis.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registered and care staff meetings and at staff handovers.  Trends are identified from the past year and this is reported to the staff, clinical nurse leader and general manger.  The previous audit identified an area for improvement to ensure that a method was developed and implemented to accurately collect and compare infection information.  The corrective action is now addressed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65 infections since July 2017.  Three residents have been identified with frequent infections due to co-morbidities.  The three residents’ files reviewed highlighted short term and long-term care planning to reduce and minimise the risk of infection.   Care staff interviewed demonstrated knowledge of residents who have a higher risk of infections and the interventions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four residents were using restraints (bed rails) and one resident was using a bed rail as an enabler. These were the least restrictive and used voluntarily at their request. A similar consent and assessment, and monitoring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93"/>
        <w:gridCol w:w="1280"/>
        <w:gridCol w:w="7753"/>
        <w:gridCol w:w="1630"/>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incident reports reviewed were being signed off as complete with little or no evidence that investigation and/or corrective actions had been taken to prevent recurrence. Internal audit reports reviewed, recorded the corrective actions taken where needed, but there was no follow up to ensure the service deficit or noncompliance had been resolved. This was validated by this audit revealing the same deficit in medicines management that an internal audit conducted by the service had revealed in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corrective actions are being evaluated to ensure they are effective.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noncompliance is identified (via incidents, internal audits or complaints) implement corrective actions, then check/evaluate that the corrective actions taken have remedied the problem.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and pharmacy technician interviewed stated that the care provided for residents and communication between parties was excellent.  An internal medication management audit dated 1 December 2017 and six-monthly pharmacy audit dated the 13 March 2018 highlighted that not all residents’ medication charts meet medication guidelines and legislation and corrective actions were implemented to address the issues.  At the time of this audit three separate eye drop medications were prescribed for the one resident and were being administered, however the medication expired on the 14 December 2017 (more than 30 days after the opening of the medication).  All other medicines reviewed were within their use by dates.  The two mentioned audits also highlighted that not all resident medication charts meet medication guidelines and legislation and corrective actions were implemented to address the issues.  At the time of this audit 14 residents’ medication paper-based files were reviewed.  Five medication charts (which included seven individual medications), did not have short course medication signed off by the GP.  Four medication charts (which included 11 individual medications) did not have reason stated for pro re nata (PRN) medications.  One medication chart for a short-term medication did not have the length of time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administered to residents were used within the required timeframe, have short course medication signed off by the GP, have reason for use of pro re nata (PRN) medication documented or have length of time documented for use of short term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medicine and medicine management information is recorded and administered to comply with legislation, protocols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individual details and client specific initial care plans and long-term care plans.  Residents have an interRAI assessment completed by one trained interRAI assessor on site.  Staff interviewed stated that they knew the residents very well and were able to identify and meet their needs.  Residents and families confirmed their involvement in the assessment process.  The facility was able to show email evidence requesting transfer of the residents file however on the day of audit the file was yet to be transferred to the facility from DSL and the resident did not have an up to date interRAI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admitted to the facility on the 16 January 2018 has not had an interRAI assessment.  The facility is awaiting transfer of the file from Disability Support Link (DSL).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all residents have an up to date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Visual inspection revealed at least four chemical bottles (for example, deodorizer and a high strength cleaning product) hanging off the handrails throughout the facility. Two other bottles were also found in one of the communal shower rooms. These were immediately removed.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are being left in areas where visitors or residents could access; they are not being stored securely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chemicals are stored in secure areas when they are not in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Cambridge Limited - Lifecare Cambridge</w:t>
    </w:r>
    <w:bookmarkEnd w:id="58"/>
    <w:r>
      <w:rPr>
        <w:rFonts w:cs="Arial"/>
        <w:sz w:val="16"/>
        <w:szCs w:val="20"/>
      </w:rPr>
      <w:tab/>
      <w:t xml:space="preserve">Date of Audit: </w:t>
    </w:r>
    <w:bookmarkStart w:id="59" w:name="AuditStartDate1"/>
    <w:r>
      <w:rPr>
        <w:rFonts w:cs="Arial"/>
        <w:sz w:val="16"/>
        <w:szCs w:val="20"/>
      </w:rPr>
      <w:t>29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