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Village Hospital Limited - Bob Reed, Ranfurly Care &amp;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Village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2018</w:t>
      </w:r>
      <w:bookmarkEnd w:id="7"/>
      <w:r w:rsidRPr="009418D4">
        <w:rPr>
          <w:rFonts w:cs="Arial"/>
        </w:rPr>
        <w:tab/>
        <w:t xml:space="preserve">End date: </w:t>
      </w:r>
      <w:bookmarkStart w:id="8" w:name="AuditEndDate"/>
      <w:r w:rsidR="00A4268A">
        <w:rPr>
          <w:rFonts w:cs="Arial"/>
        </w:rPr>
        <w:t>22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Ranfurly Hospital &amp; Veterans Home provides rest home and hospital level of care for up to 60 residents.  On the day of audit there were 57 residents in total.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A health services manager manages the service.  She is a registered nurse and is experienced in aged care and management.  The health services manager has been in the role since October 2017 and is supported by a care manager, registered nurses and care staff.</w:t>
      </w:r>
    </w:p>
    <w:p w:rsidRPr="00A4268A">
      <w:pPr>
        <w:spacing w:before="240" w:line="276" w:lineRule="auto"/>
        <w:rPr>
          <w:rFonts w:eastAsia="Calibri"/>
        </w:rPr>
      </w:pPr>
      <w:r w:rsidRPr="00A4268A">
        <w:rPr>
          <w:rFonts w:eastAsia="Calibri"/>
        </w:rPr>
        <w:t>One of the two previous audit findings have been addressed around documented evidence of relative notification.  Improvements continue to be required around documented interventions.</w:t>
      </w:r>
    </w:p>
    <w:p w:rsidRPr="00A4268A">
      <w:pPr>
        <w:spacing w:before="240" w:line="276" w:lineRule="auto"/>
        <w:rPr>
          <w:rFonts w:eastAsia="Calibri"/>
        </w:rPr>
      </w:pPr>
      <w:r w:rsidRPr="00A4268A">
        <w:rPr>
          <w:rFonts w:eastAsia="Calibri"/>
        </w:rPr>
        <w:t>No further areas requiring improvement have been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Residents and family are well informed including of changes in resident’s health.  The health services manager promotes an open-door policy.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health services manager is a registered nurse and reports to the village manager for Ranfurly Village Hospital Limited.  The quality and risk management programme includes service philosophy, goals and a quality planner.  Quality activities are conducted, and generate improvements in practice and service delivery.  Corrective actions are implemented, followed through and communicated to staff.  Health and safety policies, systems and processes are implemented to manage risk.  Staff advised that there is an orientation programme that provides new staff with relevant information for safe work practice.  There is an in-service training calendar for 2018.  Human resource policies are in place, including a documented rationale for determining staffing levels and skill mixes.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A registered nurse assesses and reviews residents' needs, outcomes and goals with the resident and/or family input.  Care plans viewed generally demonstrate service integration and are reviewed at least six monthly.  Resident files include medical notes by the contracted general practitioners and visiting allied health professionals.  Medication policies reflect legislative requirements and guidelines.  Registered nurses are responsible for the administration of medicines and complete education and medication competencies.  Medication charts are reviewed three monthly by the GP.  The diversional therapist and activities assistant implement the activity programme to meet the individual needs, preferences and abilities of the residents.  Residents are encouraged to maintain community links.  There are regular outings and celebrations.  All meals are cooked on-site.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restraint procedures.  There are clear guidelines in the policy to determine what restraint is and what an enabler is.  Staff are trained in restraint minimisation and safe practise.  There were no residents with restraint and no residents with an enabler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are clear policies and procedures for infection prevention and control including surveillance.  Surveillance data is collected and analysed monthly to identify areas for improvement.  Systems are in place that are appropriate to the size and complexity of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monthly resident meetings and complaint forms.  Information on the complaints forms includes the contact details for the Health and Disability Advocacy Service.  The complaints register includes the date of the incident, complainant, response to complainant, and signature when the complaint is resolved.  There have been 29 complaints made since the last audit, seven made from July 2016, 18 made in 2017 and four received in 2018 year-to-date.  A review of complaints documentation evidenced resolution of the complaint, to the satisfaction of the complainant.  The health services manager informed that complainants are advised in writing of the outcomes of the investigations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Seven residents (three hospital and four rest home level) interviewed, stated they were welcomed on entry and were given time and explanation about the services and procedures.  Twelve accident/incident forms reviewed and associated resident files evidenced recording of family notification.  Four relatives (hospital only) interviewed confirmed that they are notified of any changes in their family member’s health status.  The health services manager and care manager were able to identify the processes that are in place to support family being kept informed.  The previous finding around relative notification has been addressed.  Staff could describe how interpreter services are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Hospital &amp; Veterans Home provides rest home and hospital level of care for up to 60 residents.  All beds are dual-purpose within a new purpose-built facility.  The service is on two levels.  There are two wings (Wallace wing - 15 beds and Knox wing - 15 beds) on level two, and two wings (Wallingford wing - 15 beds and McKay wing - 15 beds) on level three.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 the day of audit there were 57 residents in total, 23 rest home residents (11 on level 2 and 12 on level 3) and 34 hospital residents (17 on level 2 and 17 on level 3).  There was one hospital level resident on palliative care.  There were no residents on respite or younger persons at the time of the audit.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Village Hospital Limited is part of the Generus Living Group.  The organisational structure includes a board made up of Generus Living Group.  Ranfurly Hospital &amp; Veterans Home is managed by the health services manager, who reports to the village manager for Ranfurly Village Hospital Limited.  The village manager reports to the Generus Living Group managing director.  The health services manager is a registered nurse (RN) and is experienced in aged care and management.  The health services manager has been in the role since October 2017.  She is supported by a care manager who has been in the role for 11 years and has worked for Ranfurly Village Hospital Limited for over 23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operational 2017-2019 business plan identifies strategic priorities around development opportunities, industry engagement, professional support, quality management and business objectives/values.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services manager and care manager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manual includes the quality and risk management plan and service philosophy.  The 2017 quality and risk management plan has been reviewed by the health services manager and new goals and quality indicators have been set for 2018.  The quality and risk management plan has documented aims and objectives.  The 2018 internal audit schedule and internal audits are being completed.  Corrective actions have been developed where compliance is less than expected and corrective actions evidence full completion.  Monthly staff and quality improvement meetings have been held with evidence of discussion of quality outcomes.  Weekly management meetings and monthly resident meetings are also being held.  The service collects information on resident incidents and accidents as well as staff accident/incident.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safety/education officer interviewed confirmed her understanding of health and safety processes.  She has completed specific health and safety training.  There is a current hazard register.  Health and safety internal audits are completed.  Annual resident/relative satisfaction surveys are completed with results communicated to residents and staff.  The overall service result for the resident/relative satisfaction survey completed in December 2017 was at 88%.  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care manager investigates accidents and near misses and an analysis of incident trends occurs.  There is a discussion of accident/incident at staff meetings including actions to minimise recurrence.  Either a RN or a healthcare assistant commences accident/incident forms.  Twelve accident/incident forms for the month of January 2018 were reviewed.  All document timely RN review and follow-up.  Neurological observations were fully completed for two resident unwitnessed falls that resulted in a potential head injury.  Discussions with the health services manager and care manager confirm that there is an awareness of the requirement to notify relevant authorities in relation to essential notifications.  There have been no requirements to complete any section 31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that includes recruitment and staff selection process.  Policy requires that relevant checks be completed to validate the individual’s qualifications, experience and veracity.  Five staff files were reviewed (one care manager, one RN, one diversional therapist and two healthcare assistants) and evidenced that reference checks were completed before employment was offered.  All files sampled had completed staff file documentation including staff appraisals.  A copy of practising certificates is kept.  The human resources policies also include orientation,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Staff were able to describe the orientation process and stated that they believed that new staff were adequately orientated to the service.  There is an in-service training calendar for 2018.  Discussion with the health and safety/education officer and care staff confirmed that monthly in-service training is in place.  Training includes a healthcare assistant online training programme and face-to-face sessions.  The annual training programme exceeds eight hours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health services manager and care manager work full time from Monday to Friday and are readily available after hours.  The rosters sighted confirmed that staff are replaced on the roster.  There are dedicated activity, cleaning, laundry and food services staff.  Interviews with staff, residents and relatives, identified that staffing is adequate to meet the needs of residents.  The service is on two levels, two wings (Wallace wing - 15 beds and Knox wing - 15 beds) on level two and two wings (Wallingford wing - 15 beds and McKay wing - 15 beds) on level three.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level two (Wallace wing, there are five rest home and nine hospital residents and Knox wing, six rest home and eight hospital residents) there is one RN on duty on the morning shift and afternoon shift, and one on the night shift.  The RNs are supported by four healthcare assistants on duty on the morning shift, three on the afternoon shifts, and two healthcare assistants on duty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level three (Wallingford wing, there are six rest home and eight hospital residents and McKay wing, six rest home and nine hospital residents) there is one RN on duty on the morning shift and afternoon shift, the RN from level two covers the night shift.  The RNs are supported by four healthcare assistants on duty on the morning shift and three on the afternoon shifts, and two healthcare assistants on duty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was one resident self-administering on the day of audit.  A consent form had been signed and the resident deemed competent to self-administer.  The nasal spray was in a drawer.  There are no standing orders.  There are no vaccines stored on-site.  The facility uses an electronic and robotic pack system.  Medications are checked on arrival and any pharmacy errors recorded and fed back to the supplying pharmacy.  RNs administer all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attend annual education and have an annual medication competency completed.  All RNs are syringe driver trained by the hospice.  The medication fridge temperature is checked weekly.  Eye drops are dated once opened.  Staff sign for the administration of medications on the electronic system.  Ten medication charts were reviewed (six hospital and four rest home).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cooks who cover Monday to Sunday and seven part-time kitchen assistants.  All cooks have current food safety certificates.  The head cook oversees the procurement of the food and management of the kitchen.  There is a well-equipped kitchen and all meals are cooked on-site.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four-weekly menu cycle is approved by a dietitian.  The residents choose from three options.  All residents/families interviewed were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 that they notify family members about any changes in their relative’s health status.  All but one care plan sampled had interventions documented to meet the needs of the resident and there is documented evidence of care plans being updated as residents’ needs changed.  Resident falls are reported on accident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Wound assessment, wound management and wound evaluation forms are in place for all wounds.  Wound monitoring occurs as planned.  There are currently nineteen wounds being treated.  There are currently three pressure injuries.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and one activities assistant who works twenty hours a week.  Both work across all areas.  On the day of audit residents were observed listening to a newspaper reading and having one-on-one sessions.  Twenty residents went out to lunch at the RSA.  There is a weekly programme in large print on noticeboards in all areas.  Every Monday, each resident is given a copy of the weekly programme to keep in their room.  Residents have the choice of a variety of activities, in which to participate and every effort is made to ensure activities are meaningful and tailored to residents’ needs.  These include exercises, bingo, news from the paper, music, quizzes and games.  There is a ladies club, which holds high tea parties.  There is a men’s club which holds gatherings with quizzes (beer and chips provided).  Those residents who prefer to stay in their room or who need individual attention have one-on-one visits to check if there is anything they need and to have a chat.  There is a monthly church service and Catholic communion every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in the process of appointing a chaplain.  Each area has a van outing weekly.  Next week the van outing includes a picnic at Western Springs.  Special events like birthdays, Easter, Mothers’ Day, Anzac Day and the Melbourne Cup are celebrated.  There is weekly pet therapy.  There is community input from the local preschools and schools, as well as the RSA.  Due to the large number of residents who are war veterans, the involvement of the RSA is important.  Recently the facility held a garden party where over 250 people attended.  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 monthly at the same time as the review of the long-term care plan.  Resident meetings are held monthly and family and NOK meetings are held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plans reviewed had been evaluated by the RN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expiring on 3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and quality initiatives are discussed at staff and quality meetings.  There is a policy describing surveillance methodology for monitoring of infections.  Definitions of infections are in place appropriate to the complexity of service provided.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There are clear guidelines in the policy to determine what restraint is and what an enabler is.  The care manager is responsible for restraint review and use, should this occur.  There were no residents on restraint and no residents using an enabler on the day of the audit.  Staff are trained in restraint minimisation and safe practise.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43"/>
        <w:gridCol w:w="1280"/>
        <w:gridCol w:w="6960"/>
        <w:gridCol w:w="2585"/>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generally consistent with, and contribute to the residents’ assessed needs and goals.  All chronic wounds have interventions documented in the long-term care plan.  A previous finding in this area has been met.  One long-term care plan did not have specific interventions documented around falls prevention and high alcohol consumption.  A previous finding in this area has not been met.  There is specialist input from the GP and the DHB wound care nurse when required.  A previous finding in this area has been met.  Neurological observations are completed for all residents who have a ‘head knock’ or unwitnessed falls.  A previous finding in this area has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long-term care plan did not have specific interventions documented around falls prevention and high alcohol consumption.  However, staff interviewed could describe current care for this resident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long-term care plans include specific interventions around identified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Village Hospital Limited - Bob Reed, Ranfurly Care &amp; Veterans</w:t>
    </w:r>
    <w:bookmarkEnd w:id="58"/>
    <w:r>
      <w:rPr>
        <w:rFonts w:cs="Arial"/>
        <w:sz w:val="16"/>
        <w:szCs w:val="20"/>
      </w:rPr>
      <w:tab/>
      <w:t xml:space="preserve">Date of Audit: </w:t>
    </w:r>
    <w:bookmarkStart w:id="59" w:name="AuditStartDate1"/>
    <w:r>
      <w:rPr>
        <w:rFonts w:cs="Arial"/>
        <w:sz w:val="16"/>
        <w:szCs w:val="20"/>
      </w:rPr>
      <w:t>22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