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Henderson Healthcare Limited - Edmonton Meadows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Henderson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Edmonton Meadows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February 2018</w:t>
      </w:r>
      <w:bookmarkEnd w:id="7"/>
      <w:r w:rsidRPr="009418D4">
        <w:rPr>
          <w:rFonts w:cs="Arial"/>
        </w:rPr>
        <w:tab/>
        <w:t xml:space="preserve">End date: </w:t>
      </w:r>
      <w:bookmarkStart w:id="8" w:name="AuditEndDate"/>
      <w:r w:rsidR="00A4268A">
        <w:rPr>
          <w:rFonts w:cs="Arial"/>
        </w:rPr>
        <w:t>27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partial provisional audit was completed 2 October 2017 to review the services readiness to provide hospital (geriatric and medical) level of care.  All 48-current rest home level rooms, will become dual-purpose rooms.  HealthCERT letter dated 2 November 2017 confirmed amended certificate includes hospital (medical and geriatric) level care.  The service has recently signed out ‘prior to occupancy’ findings from their partial provisional audit and therefore (to date) have not commenced providing hospital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Edmonton Meadows is currently certified to provide hospital (geriatric and medical), rest home and dementia level care for up to 60 residents.  On the day of audit there were 50 residents.  The service is currently not providing hospital level care.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There is a full time clinical nurse manager and a facility manager (non-clinical) who manage the facility.  The clinical nurse manager who has ten years’ experience in the NZ aged care industry has been in this role since May 2017.  The facility manager has been in this role for 23 years.  Further support is also provided by two directors, an external aged care consultant, registered nurses and care staff.</w:t>
      </w:r>
    </w:p>
    <w:p w:rsidRPr="00A4268A">
      <w:pPr>
        <w:spacing w:before="240" w:line="276" w:lineRule="auto"/>
        <w:rPr>
          <w:rFonts w:eastAsia="Calibri"/>
        </w:rPr>
      </w:pPr>
      <w:r w:rsidRPr="00A4268A">
        <w:rPr>
          <w:rFonts w:eastAsia="Calibri"/>
        </w:rPr>
        <w:t xml:space="preserve">Residents and family members interviewed praised the service for the support provided.  </w:t>
      </w:r>
    </w:p>
    <w:p w:rsidRPr="00A4268A">
      <w:pPr>
        <w:spacing w:before="240" w:line="276" w:lineRule="auto"/>
        <w:rPr>
          <w:rFonts w:eastAsia="Calibri"/>
        </w:rPr>
      </w:pPr>
      <w:r w:rsidRPr="00A4268A">
        <w:rPr>
          <w:rFonts w:eastAsia="Calibri"/>
        </w:rPr>
        <w:t xml:space="preserve">Improvements are required around implementation of the quality programme and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Edmonton Meadows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a number of processes to ensure it aligns with the identified values, scope and strategic direction.  The business plan and quality plan have goals documented.  There are policies and procedures to provide appropriate support and care to residents with rest home level needs.  This includes updates around interRAI requirements and a documented quality and risk management programme that includes analysis of data.  </w:t>
      </w:r>
    </w:p>
    <w:p w:rsidRPr="00A4268A">
      <w:pPr>
        <w:spacing w:before="240" w:line="276" w:lineRule="auto"/>
        <w:rPr>
          <w:rFonts w:eastAsia="Calibri"/>
        </w:rPr>
      </w:pPr>
      <w:r w:rsidRPr="00A4268A">
        <w:rPr>
          <w:rFonts w:eastAsia="Calibri"/>
        </w:rPr>
        <w:t xml:space="preserve">Ongoing training is provided and there is a training plan developed and commenced for 2018.  Rosters and interviews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provides oversight of clinical components of care.  The clinical nurse manager and another registered nurse both trained in completion of interRAI assessments are responsible for the completion of assessments with each resident having a current interRAI assessment.  Care plans are documented and reviewed at least six monthly and as changes occur.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including activities for residents in the dementia unit or for those identified as younger.  Residents and family expressed satisfaction with the activities programme in place. </w:t>
      </w:r>
    </w:p>
    <w:p w:rsidRPr="00A4268A" w:rsidP="00621629">
      <w:pPr>
        <w:spacing w:before="240" w:line="276" w:lineRule="auto"/>
        <w:rPr>
          <w:rFonts w:eastAsia="Calibri"/>
        </w:rPr>
      </w:pPr>
      <w:r w:rsidRPr="00A4268A">
        <w:rPr>
          <w:rFonts w:eastAsia="Calibri"/>
        </w:rPr>
        <w:t xml:space="preserve">There is a medication management system in place and medication is administered by staff with current medication competencies.  All medications are reviewed by the general practitioner (GP) every three months or as when necessary according to policy. </w:t>
      </w:r>
    </w:p>
    <w:p w:rsidRPr="00A4268A" w:rsidP="00621629">
      <w:pPr>
        <w:spacing w:before="240" w:line="276" w:lineRule="auto"/>
        <w:rPr>
          <w:rFonts w:eastAsia="Calibri"/>
        </w:rPr>
      </w:pPr>
      <w:r w:rsidRPr="00A4268A">
        <w:rPr>
          <w:rFonts w:eastAsia="Calibri"/>
        </w:rPr>
        <w:t xml:space="preserve">Nutritional needs are provided in line with nutritional guidelines and residents with special dietary needs catered for.  Residents and family confirmed that adequate fluids and food are provided, and snacks are available between meals or whenever needed.  The facility utilises a four-weekly rotating menu with these recently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and a New Zealand Fire Service evacuation scheme is approved.  A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Rooms are personalised with resident belongings.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r w:rsidRPr="00A4268A">
        <w:rPr>
          <w:rFonts w:eastAsia="Calibri"/>
        </w:rPr>
        <w:t xml:space="preserve">There is a secure dementia unit that has specifically identified indoor and outdoor areas for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policy around restraint minimisation and use of enablers.  A policy around management of challenging behaviours is documented.  There is one resident using a bedrail identified as a restraint and no enablers at the time of the audit.  Staff interviewed demonstrate an understanding of restraint and enabler use and receive ongoing restraint education.  Use of the restraint is monitored as per policy.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Infections are reported by staff and residents and monitored through the infection control surveillance programme by the infection control coordinator (the clinical nurse manager).  There are infection prevention and control policies, procedures and a monitoring system in place.  Training of staff and information to residents is delivered regularly.  Infections are monitored and evaluated for trends.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2"/>
        <w:gridCol w:w="1280"/>
        <w:gridCol w:w="98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(four caregivers, two registered nurses, and two activities officers) confirmed their familiarity with the Code.  Six rest home residents and five family members (three rest home and two dementia)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  A multipurpose informed consent form is utilised by the service provider and is retained in each individual resident`s record reviewed.  Forms are signed and dated appropriately.  The admission agreements were signed and dated by the provider and the resident and/or representative.  EPOAs are activated on dementia resident files.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understood the obligations and legislative requirement to ensure competency of residents, as required for advance directives and advance care planning.  Resident reviews were undertaken six monthly.  Reviews of the individual resident’s health status was documented and retained in each personal file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informed consent and resuscitation and the service is committed to meeting the requirements of the Code of Health and Disability Services Consumers Rights.  Discussions with staff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residents confirmed that the service actively involves their relatives in decisions that affect their lives, where they consent to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Contact numbers for advocacy services are included in the policy, in the resident information folder and in advocacy pamphlets that are available around the facility.  Advocacy services visit twice a year and on request.  Discussions with residents identified that the service provides opportunities for the family/EPOA to be involved in decisions.  The service has links to the local Alzheimer’s Society, which provides support for those who have dementia or have a loved one with a diagnosis of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The one resident on the YPD contract and the respite resident are engaged in a range of community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has been implemented and residents and their family/whānau are provided with information on admission.  Complaint forms are available at reception.  The residents interviewed were aware of the complaints process and to whom they should direct complaints.  The service had two complaints in 2017 and have had no complaints in 2018 to date.  Documentation including follow-up letters and resolution, demonstrates that complaints are being managed in accordance with guidelines set by the HDC.  Any corrective actions developed have been followed up and implemented.  Residents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families interviewed identified they are well-informed about the Code.  Surveys and direct communication with management provide the opportunity to raise concerns.  Advocacy and Code of Rights information is included in the information pack and are available at the service.  Information leaflets from the Alzheimer’s society are also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are signed by staff at commencement of employment.  Young people with disabilities can maintain their personal, gender, sexual, cultural, religious and spiritual identity.  Residents and relatives interviewed reported that residents are able to choose to engage in activities and access community resources.  There is a policy on abuse and neglect and staff received training in February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There were two residents that identified as Māori at the time of audit.  Discussions with staff confirmed their understanding of the different cultural needs of residents and their whānau.  The service has developed a relationship with Waipareira Trust Marae and can call on WDHB Māori liaison service for assistance or advice when required.  Staff confirmed they are aware of the need to respond appropriately to maintain cultural safety.  Staff have had training around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interviewed indicated that they are asked to identify any spiritual, religious and/or cultural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The staff employment process includes the signing of house rules.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or dementia level care (noting, they have not yet implemented hospital level care.  The service has policies and procedures, equipment, and transition plan to support implementation of hospital level care.  The quality programme has been designed to monitor contractual and standards compliance and the quality of service delivery in the facility).  Staffing policies include pre-employment and the requirement to attend orientation and ongoing in-service training.  Integrated quality/management and staff meetings are conducted.  </w:t>
              <w:br/>
              <w:t>Residents interviewed spoke very positively about the care and support provided.  Staff interviewed had a sound understanding of principles of aged care and stated that they are supported by the management team.  Caregivers complete competencies relevant to their practice.  Under the new ownership, the service has made a point of improving communication with staff, residents and families through meetings and an open-door policy.  Interviews confirmed this.    A focus of the new ownership has been increasing the skill level of all staff -  care staff are encouraged to undertake careerforce studies and staff (RN and HCAs) have attended external education on palliative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their relatives are informed of changes in health status and incidents/accidents.  This was confirmed on incident forms reviewed.  Residents also stated they were welcomed on entry and were given time and explanation about services and procedures.  Resident meetings have occurred regularly, and the clinical nurse manager and facility manager have an open-door policy.  Aged care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Edmonton Meadows is an independently owned service that currently provides rest home and dementia level care for up to 60 residents.  The service completed a partial provisional audit in October 2017 to add hospital (geriatric and medical) level care.  HealthCERT letter dated 2 November 2017 confirmed amended certificate includes hospital (medical and geriatric) level care.  The service has only recently signed out ‘prior to occupancy’ findings from their partial provisional audit and therefore (to date) have not commenced providing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12-bed dementia unit, and three 16-bed rest home wings.  On the day of audit there were 11 dementia level care residents (including one respite contract) and 38 (including one younger person on a POAC (primary options for acute care contract), one YPD contract, and one respite) rest home residents and one hospital level care resident (dispensation letter dated 22 December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who own another facility have owned Edmonton meadows since purchasing in May 2017.  They are fully informed of all aspects of the service at weekly meetings and attend integrated quality management meetings bi-monthly.  One or both directors visit at least weekly and both are on call at all times.  The clinical nurse manager is supported by a facility manager (non-clinical), each work fulltime and a team of registered nurses and healthcare assistants.  The facility manager has 23 years’ experience at Edmonton meadows with eight years as manager.  There is a registered nurse on-site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and the proposed transition to include hospital level are well documented in the business plan and the progress toward goals has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facility manager have completed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clinical nurse manager with the support the directors, fill the role.  During the temporary absence of the clinical nurse manager, a senior registered nurse fills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quality risk management plan.  Staff interviewed could describe quality data collected and fed back to them through meetings.  The clinical nurse manager facilitates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provided by an external aged care consultant that are relevant to the service types offered and these are reviewed and updated at least two yearly or sooner if there is a change in legislation, guidelines or industry best practise.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are in place to capture and manage non-compliances.  They include (but not limited to) internal audits, hazard management, risk management, incident and accident and infection control data collection and complaints management.  Quality improvement data is discussed at monthly staff meetings and integrated bi-monthly quality management meetings.  Meeting minutes reviewed did not evidence discussion and feedback of internal audit outcomes.  Resident meetings have been held regularly.  There are resident/relative surveys conducted and analysed.  The last survey was September 2017 and the outcome of the survey identified that those who responded were very satisfied with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developed and implemented when service shortfalls are identified.  Correctives actions have not been signed off as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managed and documented on the hazard register.  There is a designated health and safety officer.  Health and safety issues are discussed at monthly quality/staff meeting with action plans documented to address issues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post-falls assessment is completed for every fall and prevention strategies are in place for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included benchmarking against other similar facilities in their quality plan for the year.  This is an initiative under the new ownership.  The CNM confirmed data collection has commenced.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Fourteen incidents (all incidents from February 2018 to date) demonstrated appropriate documentation and clinical follow-up.  Accidents and incidents are analysed monthly with results discussed at the integrated quality management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that require statutory reporting.  No events have required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sampled (the clinical nurse manager, a registered nurse, the chef, a kitchenhand the activities coordinator and two healthcare assistants), evidenced implementation of the recruitment process, employment contracts, completed orientation and annual performance appraisals.  A register of registered nursing staff and other health practitioner practising certificates is maintained.  The service has employed additional RN’s to provide clinical cover 24/7.  Staffing is sufficient to provide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  There is an annual education plan being implemented that includes competencies that must be completed by staff.  Two of five RNs have completed their interRAI training.    The orientation package provides information and skills around working with residents with rest home and dementia level care needs and were completed in all staff files sampled.  Care staff who work in the dementia unit have completed the required dementia training modules.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In addition to the clinical nurse manager who works full-time, there are five full-time RNs employed covering all shifts.  There is an on-call system with the CNM, the FM and both directors available at all times.  The RNs are supported by healthcare assistants, designated laundry and housekeeping staff.  Healthcare assistants assist the designated laundry staff.  Cleaning staff are employed over seven days a week.  An activities coordinator is rostered Monday to Friday with an activities assistant working one day (four hours) on the weekends.  Staff reported that staffing levels and the skill mix were appropriate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Edmonton Meadows is divided into four wings.  On the day of audit, the yellow dementia wing had eleven residents and each of the three rest home wings (blue green and white) had either twelve of thirteen residents.  There is one RN on duty on each shift with the clinical nurse manager providing support Monday to Friday.  The RNs are supported by adequate numbers of HCAs.  In the dementia unit, there are two HCAs on duty in the morning and two HCAs on the afternoon shift and one on the night shift.  In each of the rest home wings there is one HCA on duty on the morning and afternoon shifts with one HCA covering the night shift.  There is evidence of team work and staff assisting across the wings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relatives interviewed confirmed that staffing levels are adequate, and that management are visible and able to be contacted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 service integration.  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entry into the service is facilitated in a competent, equitable, timely, and respectful manner as described by residents interviewed.  Information packs are provided for families and residents to the service and this includes information around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requires all residents to have needs assessment service coordinator (NASC) assessments via an interRAI assessment, prior to admission, to ensure they can meet the resident’s needs.  All resident records reviewed as part of the selected sample had a needs assessment completed prior to admission.  One resident has been assessed as requiring hospital level care and a dispensation has been approved by the Ministry of Health on 22 December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confirm that the registered nurse or the clinical manager admits new residents into the facility.  A review of resident records confirms that admission records are completed with an electronic register of residents retained.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receives handover from the transferring agency, for example, the hospital at the district health board, and utilises this information in the development of the care plan for the resident.  Any records from a transferring agency are retained in the resident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encouraged to be a part of the admission and entry process with this confirmed by family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are coordinated in collaboration with the resident and family.  There are documented policies and procedures to ensure exit, discharge, or transfer of residents are undertaken in a timely and safe manner.  The clinical nurse manager reports that they include copies of the resident’s records including: general practitioner visits; medication charts; current long-term care plans; upcoming hospital appointments; and other medical alerts, when a resident is transferred to another health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including processes for safe and appropriate prescribing, dispensing and administration of medicines.  The service uses an electronic system for prescribing and administration of medication for most residents.  Some residents elect to have their own doctor and at times, the doctor is not linked to the electronic database.  In these instances, there are also copies of the prescription on record and a pharmacy documented administration signing form.  The medication areas are free from heat, moisture, and light, with medicines stored in original dispensed packs,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medicine charts reviewed met legislation and allergies documented.  All residents have photo identification with confirmation that the photograph is a true likeness.  Two residents using respite services do not have a photograph on the medication file, however, staff are able to describe ways that they identify the resident.  Discontinued medicines are identified.  The three monthly or ‘as required’ general practitioner reviews are all completed within the three-monthly timeframe.  Medication reconciliation policies and procedures are implemented.  Medication fridge temperatures are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was observed during lunch time.  Medication administration practice met medication guidelines.  </w:t>
            </w:r>
          </w:p>
          <w:p w:rsidR="00EB7645" w:rsidRPr="00BE00C7" w:rsidP="00BE00C7">
            <w:pPr>
              <w:pStyle w:val="OutcomeDescription"/>
              <w:spacing w:before="120" w:after="120"/>
              <w:rPr>
                <w:rFonts w:cs="Arial"/>
                <w:b w:val="0"/>
                <w:lang w:eastAsia="en-NZ"/>
              </w:rPr>
            </w:pPr>
            <w:r w:rsidRPr="00BE00C7">
              <w:rPr>
                <w:rFonts w:cs="Arial"/>
                <w:b w:val="0"/>
                <w:lang w:eastAsia="en-NZ"/>
              </w:rPr>
              <w:t>Stocktakes of controlled drugs are not documented as completed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authorised to administer medications with competencies completed annually.  There are residents who self-administer medicines with a competency completed.  Each resident is confirmed as having a safe secure place to store medications if they self-administer.  A resident who self-administers medication confirms that staff check daily to ensure that they have remembered to take the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four-weekly menu reviewed by a dietitian in January 2018.  Residents’ dietary profiles are developed on admission with a current list of likes, dislikes and allergies maintained on a whiteboard in the kitchen.  Dietary profiles are updated as required and at least six monthly in line with the completion of the interRAI assessment.  Interviews with the chef confirm their awareness of the residents’ dietary requirements.  Kitchen staff are trained in safe food handling processes.  Food safety procedures are adhered to 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require special dining aids are provided for, to promote independence.  The residents' files demonstrated monthly monitoring of individual resident's weight with any weight loss reported and measurement of weight increased to weekly.  Supplements are provided to residents with identified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they are satisfied with the food service and family for residents in the dementia unit state that they are happy with meals and service provided.  Residents reported their individual preferences are met and adequate food and fluids are provided.  Food on the days of audit was hot and met assessed resident needs.  The service provides additional food over a 24-hour period for residents in the dementia and for others in the service if they require snacks outside of meals and morning/afternoon tea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process for the management of declining residents’ entry into their care.  Records of enquiry are maintained and in the event of decline, information is given regarding alternative services and the reason for declining services.  In general, potential residents are not declined as all have a needs assessment completed prior to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scope of services provided is identified in the NASC assessment and communicated to prospective residents and their families.  The clinical manager assesses the suitability of residents with support and input from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residents are not suitable for placement at the service, the family and/or the resident are referred to other services, depending on their level of needs with NASC services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or the clinical nurse manager completes a variety of risk assessment tools on admission; six monthly and as required.  The service completes interRAI assessments for new residents with records reviewed confirming that these were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medical assessment is completed by the general practitioner and recreational assessment completed by the activities coordinator.  Baseline recordings are recorded for weight management and vital signs at least monthly.  If a resident is identified as having weight loss, then the weight is taken weekly as sighted in two resident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The needs, support requirements, and preferences are collected and recorded for residents with the long-term care plan aligning with the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 that the families are involved in the assessment and review processes with family or the resident signing on the care plan to indicate their involvement.  The outcomes of the assessments are used in creating an initial care plan and in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are resident focused for a resident requiring hospital level of care; dementia unit and rest home and describe in-depth strategies for meeting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have sections for the resident’s profile, details, observations, care plans, monitoring and risk assessments.  Interventions sighted were consistent with the assessed needs and best practice.  Goals are realistic, achievable, and clearly documented.  The service records interventions for the achievement of the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adequate and appropriate services meeting their assessed needs and desired outcomes.  Interventions are documented for each goal in the care plan documented for each individual resident.  Residents’ files reflect residents and family involvement in the development of goals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general practitioner confirms clinical interventions are effective and appropriate.  Interventions from allied health providers are included in the long-term care plans such as discussions with the needs assessment service coordinators (NASC); podiatrist and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two residents with a skin tear requiring dressing and two residents with a chronic ulcer.  Three residents with a wound were reviewed.  Both had a comprehensive assessment and progress notes documented.  A wound management plan is documented for each wound or skin tear with reviews completed.  </w:t>
            </w:r>
          </w:p>
          <w:p w:rsidR="00EB7645" w:rsidRPr="00BE00C7" w:rsidP="00BE00C7">
            <w:pPr>
              <w:pStyle w:val="OutcomeDescription"/>
              <w:spacing w:before="120" w:after="120"/>
              <w:rPr>
                <w:rFonts w:cs="Arial"/>
                <w:b w:val="0"/>
                <w:lang w:eastAsia="en-NZ"/>
              </w:rPr>
            </w:pPr>
            <w:r w:rsidRPr="00BE00C7">
              <w:rPr>
                <w:rFonts w:cs="Arial"/>
                <w:b w:val="0"/>
                <w:lang w:eastAsia="en-NZ"/>
              </w:rPr>
              <w:t>Appropriate monitoring tools are in use as per resident need.  These include turning charts, food and fluid charts and behavioural monitoring charts as per individual need and as identified in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confirm that independence is encouraged, and choices are offered to residents.  There are two activities coordinators (one full time and one who works seven days a fortnight).  The clinical nurse manager is also a trained diversional therapist and provides oversight of the programme.  The clinical nurse manager and activities coordinators develop the plan, and this is implemented with flexibility to consider needs of residents on the day and weather.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held specifically in the dementia unit as well as in the rest home area.  Individual activities are documented for the resident accessing hospital level of care as they are not able to engage in group activities.  Individual activities are also offered to other residents who do not wish to engage in group activities.  Activities plans include relevant cultural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plan is documented for each day/week and displayed in the rest home and dementia unit for residents and family to view.  Activities include (but not limited to): physical; mental; spiritual and social aspects of life, to improve and maintain residents’ wellbeing.  During the on-site audit, activities included: residents walking; music; crafts; quizzes and exercise.  One-to-one activities were also observed to be offered.  Residents and family confirm they are satisfied with the activity programmes including one resident interviewed who identified as being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activities coordinator completes an activities assessment for each resident.  Resident records reviewed during the on-site audit included an assessment, plan, and documentation of review of the plan.  Each plan is reviewed six monthly in conjunction with completion of the interRAI assessment.  A daily log of attendance is completed.  Residents in the dementia unit have a detailed 24-hour activity care plan documented that links to the long-term care plan.  Staff can describe interventions as per the 24-hour plan and describe providing activities in the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long-term care plans reviewed (two rest home including one YPD; one hospital and one dementia resident) had been evaluated by the registered nurses six-monthly or when changes to care occurs.  All long-term care plans reviewed had a documented evaluation completed.  The two rest home short-stay resident files reviewed (one respite, one POAC) had been evaluated on a daily basis as identified in progress notes.  Short-term care plans reviewed for short term needs were evaluated and signed off as resolved or added to the long-term care plan as an ongoing problem.  Long term care plans reviewed evidenced updates to the care plan where health status had changed.   Activities plans are in place for each resident and these are also evaluated six-monthly.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states that residents are supported in access or referral to other health and disability providers.  The registered nurses manage referrals for residents to the GP; dietitian; physiotherapist and mental health services.  The general practitioner confirmed involvement in the referral processes.  The review of residents’ files included evidence of recent external referrals to the physiotherapist, podiatrist, wound and other specialists from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Members of the allied health team document in the resident record.  The physiotherapist visits the service as required and the podiatrist provides a service six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management of waste and hazardous substances that have a focus on risk management.  Waste is mostly of a domestic-type and is managed via a recycling programme or by local council contracted services.  Personal protective equipment for staff is readily available and adequate supplies are maintained for daily use and for use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were requested to review the availability of sluice rooms following the partial provisional audit.  A second sluice has been added to the rest home area to ensure that there are sufficient resources to provide hospital level care.  Staff interviewed state that they are required to put a lid on any bucket being taken to the sluice room and they know that they are not able to transport any bucket containing material that requires sluicing during meal times or while activities are occurring.  The clinical nurse manager monitors compliance with instructions and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A fire evacuation scheme is in place and signed by the New Zealand Fire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 number of wings that merge into a central lounge/dining area.  The dementia unit is a secure unit under the same roof as the rest home.  Planned and reactive maintenance is implemented by the maintenance person and contractors.  </w:t>
            </w:r>
          </w:p>
          <w:p w:rsidR="00EB7645" w:rsidRPr="00BE00C7" w:rsidP="00BE00C7">
            <w:pPr>
              <w:pStyle w:val="OutcomeDescription"/>
              <w:spacing w:before="120" w:after="120"/>
              <w:rPr>
                <w:rFonts w:cs="Arial"/>
                <w:b w:val="0"/>
                <w:lang w:eastAsia="en-NZ"/>
              </w:rPr>
            </w:pPr>
            <w:r w:rsidRPr="00BE00C7">
              <w:rPr>
                <w:rFonts w:cs="Arial"/>
                <w:b w:val="0"/>
                <w:lang w:eastAsia="en-NZ"/>
              </w:rPr>
              <w:t>There is a maintenance staff member with contractors used as required.  There are processes for documenting any issues identified with this signed off when completed.  There is a preventative maintenance plan in place with this implemented.  Staff state that there is sufficient equipment, and this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internally and externally is maintained to minimise risk of harm, promote safe mobility, aid independence and is appropriate to the needs of the current residents.  The electrical equipment is checked, and records maintained.  Testing and calibration checks of medical measuring equipment occurs annually.  The hot water temperatures at the taps in resident areas are checked monthly by the maintenance person and temperatures maintained at 45 degrees Celsius or just below.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vehicles used for transporting residents.  There is a system for managing the vehicle warrant of finesses and current registrations.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outdoor areas available for all residents including verandas and outdoor garden areas in the secure dementia unit and out of the rest home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toilets, hand basins and showering facilities available for residents.  All rooms have hand basins in their room with some rest home rooms having ensuites.  The rest home rooms are large enough to take residents requiring hospital level care with wide doorways and double doors into showers.  The dementia unit has communal toilets with combined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privacy protections in place when showers and toilets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own room.  Bedrooms in the rest home wings are large enough to cater for residents requiring hospital level care.  There are wide doorways and rooms can include two staff or more caring for a resident and to allow for an emergency equipment or a hoist if required.  There is ample room for mobility aides to be used safely in each resident’s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in the rest home and a lounge that caters for all residents in the dementia unit.  There are smaller rooms available throughout the building with comfortable seating for family/visitors and group meetings.  The lounges are also used for activities.  Each area (rest home area and dementia unit) has a dedicated dining room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laundry policies available.  The cleaner and laundry staff interviewed confirmed their practice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cleaners seven days a week.  There is adequate storage for all chemicals in locked designated areas.  There is a cleaning schedule in place with documented daily cleaning tasks to be completed.  Laundry is performed by dedicated staff seven days a week.  There is a large laundry on-site that contains a commercial grade washing machine and a clothes dryer.  There is a smaller washing machine used by some residents so that they retain their independence.  The clinical nurse manager monitors use.  There is an outside washing line which is used as much as possible.  There is dirty and clean separation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material data sheets available for all chemical products used for cleaning and the laundry.  The clinical nurse manager monitors the cleaning and laundry service through the internal audit programme to ensure resident and relative satisfaction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 satisfaction with the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Evacuation drills occur at least six monthly with the results of these documented.  All staff have completed education on emergency management.  There is a staff member on duty 24/7 with a current first aid cert,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batteries for lights, a gas barbecue, linen, continence products, torches and batteries, water and blankets.  Food dry stock and frozen food are available to support residents for at least three days.  There is sufficient drinking water on-site to support the maximum number of residents on-site for at least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electric call bell system is available throughout the units.  The call bells from the dementia unit can be monitored by the rest home as well as in the dementia unit.  Security is maintained.  The dementia unit is secured with key pad entry.  A perimeter fence around the dementia unit is erected and gates are locked.  Staff on the afternoon and night shifts are responsible for ensuring the facilities doors and windows are closed appropriately and doors are locked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Closed circuit television has been installed in hallways and main areas such as lounges and dining areas.  These are able to be monitored in the facility managers office.  The clinical nurse manager states that there are notices informing visitors of the cameras and information is only used to ensure that residents are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an external window, and some have shutters that can be opened for ventilation.  The buildings are ventilated by opening windows and doors and extraction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managed throughout the facility to ensure that there is a constant temperature appropriate to the needs of residents.  Fans are also available in hot weather.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Edmonton Meadows has an established infection control (IC) programme.  The infection control programme is appropriate for the size, complexity and degree of risk associated with the service.  The clinical nurse manager is the designated infection control person with support from all staff.  Infection control matters are routinely discussed at all quality/staff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CNM is responsible for infection prevention and control.  The infection control team is all staff through the quality management and staff meetings.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coordinator has completed external infection control training and updates.  Infection control education for staff last occurred in September 2017.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month-by-month.  Infections are discussed at quality/staff meetings.  If there is an emergent issue, it is acted upon in a timely manner.  The infection rate is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observations, and review of documentation, demonstrated safe use of restraint or enablers.  The service has a policy of actively minimising restraint.  The service has a documented system in place for restraint and enabler use, including a restraint register.  There is one resident using restraint in the rest home (a resident requiring hospital level of care using a bedrail).  There are no enablers being used in the facility.  The restraint coordinator is the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maintains a process for determining approval of all types of restraints used.  The restraint coordinator completes a restraint assessment, which is then discussed with the general practitioner and family prior to commencement of any restraints.  The restraint committee is defined in the restraint minimisation and safety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duration of each restraint is documented in the restraint plans of residents.  Caregivers who are overseen by the registered nurse are responsible for monitoring and completing restraint forms when the restraints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include restraint related risks.  The service records underlying causes for behaviour that requires restraint with a focus on culturally safe practices; identification of desired outcomes; and possible alternatives to restraint.  Restraint risks and monitoring timeframes are identified in the restraint assessment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 reviewed for a resident using restraint confirms that a comprehensive assessment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resorting to the use of restraint, the restraint coordinator utilises other means to prevent the resident from incurring injury, for example, the use of sensor mats.  Restraint consents are signed by the general practitioner, family, and the restraint coordinator.  Restraints are incorporated in the long-term care plans and reviewed at least six monthly.  The restraint register is up-to-date.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 reviewed where the resident was using restraint included documentation of risks around restraint and safe ways for the restraint to be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evaluates all episodes of restraint.  Reviews include the effectiveness of the restraint in use, restraint-related injuries and whether the restraint is still required.  The family are involved in the evaluation of the restraints’ effectiveness and continuity.  Documentation was sighted in the progress notes of the residents regarding restraint related matters.  Restraint minimisation and safe practices are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demonstrates the monitoring and quality review of their use of restraints.  The audit schedule was sighted and includes restraint minimisation reviews.  There are corrective actions put in place when issues are identified.  Staff knowledge and good practice is included in the quality reviews.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4"/>
        <w:gridCol w:w="1280"/>
        <w:gridCol w:w="6400"/>
        <w:gridCol w:w="2037"/>
        <w:gridCol w:w="20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bi-monthly quality/management meeting and a separate bi-monthly staff meeting to which all staff are invited.  Aspects of the quality programme include (but not limited to): complaints, internal audits, health and safety, accidents and incidents, infections and risk management are discussed and documented in meeting minutes.  Internal audits and annual survey results are an agenda item for meetings.  Resident meetings are held.  Small resident and staff numbers and open discussion mean issues are discussed with management as they arise.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combined quality/management and staff meeting minutes reviewed did not reflect discussion around internal audits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internal audits and corrective actions are discussed in quality/management and staff meetings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and surveys are completed as scheduled and corrective actions are documented on a summary page attached to the audit results.  The corrective action plan details requirements and responsibilities and required timeframes.  Corrective actions arising from complaints are documented.  Corrective actions are documented as implemented but not all signed out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seven corrective actions reviewed were documented and evidence implementation of corrective actions but have not been signed out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evidence completion.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medicine charts reviewed met legislation and allergies documented.  All residents have photo identification with confirmation that the photograph is a true likeness.  Two residents using respite services do not have a photograph on the medication file, however, staff are able to describe ways that they identify the resident.  Discontinued medicines are identified.  The three monthly or ‘as required’ general practitioner reviews are all completed within the three-monthly timeframe.  Stocktakes of controlled drugs is currently being completed fortnightly.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Stocktakes of controlled drugs are not occurring weekly.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stocktakes of controlled drugs occurs weekly.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Henderson Healthcare Limited - Edmonton Meadows Rest Home</w:t>
    </w:r>
    <w:bookmarkEnd w:id="58"/>
    <w:r>
      <w:rPr>
        <w:rFonts w:cs="Arial"/>
        <w:sz w:val="16"/>
        <w:szCs w:val="20"/>
      </w:rPr>
      <w:tab/>
      <w:t xml:space="preserve">Date of Audit: </w:t>
    </w:r>
    <w:bookmarkStart w:id="59" w:name="AuditStartDate1"/>
    <w:r>
      <w:rPr>
        <w:rFonts w:cs="Arial"/>
        <w:sz w:val="16"/>
        <w:szCs w:val="20"/>
      </w:rPr>
      <w:t>26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