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Matamata Country Lodge Limited - Matamata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Matamata Country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Matamata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April 2018</w:t>
      </w:r>
      <w:bookmarkEnd w:id="7"/>
      <w:r w:rsidRPr="009418D4">
        <w:rPr>
          <w:rFonts w:cs="Arial"/>
        </w:rPr>
        <w:tab/>
        <w:t xml:space="preserve">End date: </w:t>
      </w:r>
      <w:bookmarkStart w:id="8" w:name="AuditEndDate"/>
      <w:r w:rsidR="00A4268A">
        <w:rPr>
          <w:rFonts w:cs="Arial"/>
        </w:rPr>
        <w:t>10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Matamata Country Lodge provides rest home and hospital level care for up to 98 residents which includes 17 apartments that have been assessed as suitable for delivery of rest home level care. </w:t>
      </w:r>
    </w:p>
    <w:p w:rsidRPr="00A4268A">
      <w:pPr>
        <w:spacing w:before="240" w:line="276" w:lineRule="auto"/>
        <w:rPr>
          <w:rFonts w:eastAsia="Calibri"/>
        </w:rPr>
      </w:pPr>
      <w:r w:rsidRPr="00A4268A">
        <w:rPr>
          <w:rFonts w:eastAsia="Calibri"/>
        </w:rPr>
        <w:t xml:space="preserve">The service is operated by The Main Group and managed by a suitably experienced and qualified nurse manager with support from a group support manager and two clinical nurse leaders. </w:t>
      </w:r>
    </w:p>
    <w:p w:rsidRPr="00A4268A">
      <w:pPr>
        <w:spacing w:before="240" w:line="276" w:lineRule="auto"/>
        <w:rPr>
          <w:rFonts w:eastAsia="Calibri"/>
        </w:rPr>
      </w:pPr>
      <w:r w:rsidRPr="00A4268A">
        <w:rPr>
          <w:rFonts w:eastAsia="Calibri"/>
        </w:rPr>
        <w:t>There have been no significant changes to the service and facilities since the previous audit, apart from converting one rest home bedroom to a nurse’s station and reconfiguration of a rest home bed to hospital level care which reduced the total number of beds available from 99 to 98. This was notified and approved by HealthCERT on 2 March 2018. Specific information about this is included in the relevant standard.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This audit has resulted in three ratings of continuous improvement in human resources, food and activities.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was evidence in the records that the needs of Maori are met in a manner that respects their cultural values and beliefs. </w:t>
      </w:r>
    </w:p>
    <w:p w:rsidRPr="00A4268A">
      <w:pPr>
        <w:spacing w:before="240" w:line="276" w:lineRule="auto"/>
        <w:rPr>
          <w:rFonts w:eastAsia="Calibri"/>
        </w:rPr>
      </w:pPr>
      <w:r w:rsidRPr="00A4268A">
        <w:rPr>
          <w:rFonts w:eastAsia="Calibri"/>
        </w:rPr>
        <w:t xml:space="preserve">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Eight restraints were in use at the time of audit.  A comprehensive assessment, approval and monitoring process with regular reviews occurs.  No enablers were in use. When used, these are voluntary and used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1"/>
        <w:gridCol w:w="1280"/>
        <w:gridCol w:w="95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All residents admitted to the facility who do not already have an advance care planning directive are encouraged and supported to do so if competent to make an informed choice.  There is documentation of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senior clinical nurse leader was able to provide examples when the facility would encourage and/or invite the involvement of Advocacy Services to support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and included in activities when they visited and comfortable in their discussions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25 complaints have been received since June 2017 and that the actions taken, through to an agreed resolution, are documented and completed within the timeframes stated in policy.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complaints management and follow up. All staff interviewed confirmed a sound understanding of the complaint process and what actions are required. There have been no complaints received from external sources since the previous audit. There have been no complaints to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nor any requests for advocacy services to provide support in this certification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pamphlets and posters identified throughout the facility. The Code is displayed in the main foyer and corridors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regular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acknowledging the four cornerstones of Maori Health which include Whanau (family health), Tinana (physical health), Hinengaro (mental health) and Wairua (spiritual health).   There is one resident who affiliates with their Maori culture and evidence of staff acknowledging and respecting the resident’s individual cultural needs was integrated throughout the resident’s care planning and activities.   Guidance on tikanga best practice is available and is supported by staff who identify as Māori in the facility.  The resident and family were unable to be interviewed at the time of audit, however evidence of regular communication was sighted in the resident’s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and discussed at six monthly multidisciplinary meetings with residents and family.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staff knocking on residents’ doors before entering, day to day conversation and the welcoming and including of family/visitors.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for whom English is their second language.  Staff knew how to access interpreter services, although reported this was rarely required due to all residents able to speak English, staff being able to provide interpretation as and when needed, the use of family members, and if required, the use of communication cue cards.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quarterly reports to the owners showed adequate information to monitor performance is reported including occupancy, human resources (HR), service performance, and any emerging risks and issues. Interview with one of the owners confirmed the ways in which the board of directors are kept informed in person and via the quarterly meetings. This person who oversees purchasing and buildings is on site at least once a week and will shortly be located full time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holds relevant qualifications and has been in the role for three years. This person was previously employed by the same group as the manager of another age care facility owned by them. Responsibilities and accountabilities are defined in a job description and individual employment agreement. The nurse manager confirmed knowledge of the sector, regulatory and reporting requirements. The manager also maintains currency through ongoing professional development in nursing and at least eight hours of education per annum that is specifically related to managing an aged care service, as required in the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Waikato DHB, for hospital (medical and geriatric) residential care, respite and rest home care and a contract for young people with disabilities (YPD). On the days of audit there were a total of 77 residents receiving care. Twenty eight residents receiving hospital level care, including one who is under the age of 65 years, and forty nine residents receiving services at rest home level (two of these are located in their assisted living units which they used to occupy under an Occupation Right Agreement (ORA). There was documented evidence that these people had their ORA and other associated costs terminated immediately they become eligible for subsidized care.   There were no people in the facility for respite care on the days of audit. There are another 17 apartments/units which have been assessed as suitable for the provision of rest home care. This provides a total maximum capacity of 98 beds. On the days of audit four beds were unoccupied.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nominated second in charge clinical nurse leader carries out all the required duties under delegated authority, with support from the group manager. During absences of key clinical staff, the clinical management is shared by other registered nurses who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Quality indicators includes incidents/accidents, complaints, infections, and outcomes from internal audit activities, annual staff, and resident and family satisfaction surveys. Senior staff/management are actively monitoring the implementation of corrective action plans and planning quality initiatives/projects.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board levels, senior management team meetings, quality and health and safety team meetings, RN and other staff meetings. Staff reported their involvement in quality and risk management activities through internal audit activities.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 and family satisfaction surveys are completed annually. The most recent surveys showed increases in satisfaction (for example, overall satisfaction 86% in 2016 to 92.8%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There is a dedicated health and safety officer who is also a RN. This person manages the hazard register, conducts internal audits and inducts all new staff to the health and safety systems in place. There are very few staff injuries and no serious staff injuries that required reporting to Worksafe NZ in this certification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group for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This person advised there have been no significant events requiring notification to the Ministry of Health, or the DHB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(HR) management policies and processes are based on good employment practice and relevant legislation. The recruitment process includes referee checks, police vetting and validation of qualifications and practising certificates (APCs), where required. The HR team have implemented various quality improvement processes to monitor best practice. Examples of this are the APC monthly checks and outlook reminder system, monthly checks for annual appraisals due, reducing workplace bullying initiatives, review of safe staffing systems and other staffing protocols that are discussed in standard 1.2.8.</w:t>
            </w:r>
          </w:p>
          <w:p w:rsidR="00EB7645" w:rsidRPr="00BE00C7" w:rsidP="00BE00C7">
            <w:pPr>
              <w:pStyle w:val="OutcomeDescription"/>
              <w:spacing w:before="120" w:after="120"/>
              <w:rPr>
                <w:rFonts w:cs="Arial"/>
                <w:b w:val="0"/>
                <w:lang w:eastAsia="en-NZ"/>
              </w:rPr>
            </w:pPr>
            <w:r w:rsidRPr="00BE00C7">
              <w:rPr>
                <w:rFonts w:cs="Arial"/>
                <w:b w:val="0"/>
                <w:lang w:eastAsia="en-NZ"/>
              </w:rPr>
              <w:t>A sample of 12 staff records reviewed confirmed the organisation’s policies are being consistently implemented and records are maintained. Dedicated HR staff routinely audit and review personnel records to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improvements made in relation to staff education and the retention of staff.  (Refer CI rating in criterion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(seven) who are maintaining their annual competency requirements to undertake interRAI assessments. Staff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staffing levels system which utilizes sector recognised methods is now well established and this is monitored to ensure that staffing stays over the contracted and recommended levels. Other initiatives, such as the development of tools to assist HR and the afterhours RNs for staff replacement, and another tool for managing rostered shift time changes are having a good effect on staff numbers for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two-week roster cycle confirmed more than adequate staff cover has been provided, with staff replaced in any unplanned absence.  At least one staff member on duty has a current first aid certificate and there is 24/7 RN coverage in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Service (DSL). Prospective residents and/or their families are encouraged to visit the facility prior to admission and are provided with written information about the service and the admission process.  The organisation seeks updated information from DSL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copied evidence of required supporting documentation, the resident’s progress notes, incident form completion and regular communication between the ambulance staff, facility and family.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is awaiting the approval of the Association Template FCP template by the Ministry of Primary Industries and is aware they must register with the MPI by 31st May 2018.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 specific menu has been developed by the facility cook and dietician for a younger resident due to individual tastes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DSL is made and a new placement found, in consultation with the resident and whānau/family.   The senior clinical nurse leader reported that there were two examples of this occurring and was able to discuss the process that occurred to support the residents who required a different level of care.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initial care planning. The sample of care plans reviewed had an integrated range of resident-related information.  All residents have current interRAI assessments completed by one of seven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that staff provide good communication between residents, family and health professionals. The GP reported that overall a good level of care is provided.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therapists holding the national Certificate in Diversional Therapy, an activities co-ordinator and four volunteers.  The activities team support residents from Monday to Friday 8.30am – 4.30pm.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There are several residents who independently still interact with the community and/or are supported to regularly attend meetings and groups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residents’ meetings and day to day discussions with residents and families. Residents interviewed confirmed they find the programme very interactive and especially enjoy the ‘Bingo and knitting knatters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dietician, optometrist and geriatrician.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chemicals/cleaning products and provide training for staff on new chemicals. All staff who handle chemicals complete the ‘Circle of Safety’ chemical training.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26 January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the health and safety officer and on site visual inspections.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There are noticeable enhancements in the grounds and gardens with the installation of a new fountain, and development of additional outside sitting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more than adequate numbers of accessible bathroom and toilet amenities throughout the facility.  All hospital/dual purpose bedrooms have ensuite toilets and showers and 11 of the designated rest home rooms do not. In these areas, the toilet and shower amenities are in close proximity to residents’ bedrooms. The residents interviewed were very happy with the provision and cleanliness of and access to ablution areas.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are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 Six hospital rooms now have ceiling hoists installed and there are plans to install more. The removal and reconfiguration of one rest home level bedroom to a nurse’s station and reconfiguration of one bedroom designated as rest home level to hospital level care was notified to HealthCERT. These were inspected and deemed safe, suitable and appropriate during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a variety of dining and lounge areas spread across the facility and all are within easy access for residents. These are spacious and welcoming. Of note are the improvements made to the hospital recreation and dining area following feedback from a family member who wanted more areas to visit with her loved one. The area has been ’pulled through’ with decorating, fitted out with a colourful fish tank, varied seating configurations and new chairs. A new dining area has been set up for residents in the Assisted Living Care (ALC) upstairs apartment area, so they have more communal areas for dining and meetings. Although only two of these residents are receiving rest home level care, the initiative was to promote socialization and companionship at meal times. All residents can easily access other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are on site seven days a week and those interviewed demonstrated a sound knowledge of the laundry processes, dirty/clean flow and handling of soiled linen. Residents interviewed reported the laundry is managed well and their clothes are returned in a timely manner. Quality initiatives aimed at minimizing lost or misplaced clothing is having a good effect. These include introducing a system for hanging personal clothing on a movable rack with segregated named areas and the purchase of a clothes labelling machine.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team have received appropriate training in safe chemical handling and other mandated training such as manual handling, health and safety and restraint, as confirmed by review of personnel files and in interviews with cleaning staff.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spotless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10 March 1999.  A trial evacuation takes place six-monthly with a copy sent to the New Zealand Fire Service, the most recent being on 12 March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98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service took itself through a trial of being without electricity from 8.30- 3pm early this year, by voluntarily extending an unplanned power outage. Everything ran smoothly. Learnings gathered from this exercise were to create a menu for emergency meals with the types of stored food and to relocate the bar-be-ques stored in a garage with electric doors.</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tested was functional and staff were observed to attend to these in a timely manner. Residents and families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security firm patrols the complex at least twice each night and documents its findings, such as irregularities or insecure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Some have doors that open onto outside garden or small patio areas. Heating is provided by electrical powered panel heaters, ceiling heaters or underfloor heating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safety/registered nurse is the designated IPC coordinator, whose role and responsibilities are defined in a job description. Infection control matters, including surveillance results, are reported monthly to the nurse manager/clinical nurse leaders, and tabled at the quality/risk committee meeting.  This committee includes the nurse manager, clinical nurse leaders, IPC coordinator/health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five years.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July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tool box and planned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an information board, staff handovers and tool box sessions.  Graphs are produced that identify trends for the current year, comparisons against previous years and this is reported to the nurse manager, clinical nurse leaders and IPC committee.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From October 2017 to March 2018 the surveillance programme identified 57 residents with new infections.  The IPC coordinator reported that residents who present with chronic infections are not included in the monthly total but are still acknowledged.  From October 2017 to March 2018 the identified residents with chronic infections whom required antibiotics was six residents with a combined total of 11 diagnosed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new infections are supported with short term care plans.  Residents with chronic infections had evidence of short term and long-term care plans, supporting individual interventions and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eight residents were using restraints and no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nurse manager, GP when available, coordinator and the other clinical nurse leader are responsible for the approval of the use of restraints and the restraint processes. It was evident from review of the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and confirmed by interview with two relatives.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A RN and/or the restraint coordinator undertake the initial assessment with the involvement and input from the resident’s family/whānau/EPOA. The restraint coordinator described the documented process.  Families confirmed their involvement. The general practitioner interviewed confirmed their involvement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the eight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fall out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six monthly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The restraint meetings and reports are documented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All staff complete restraint competency assessments. There have been no incidents related to use of restraint interventions for this certification period. Internal audits are carried out to check and monitor adherence to policy and protocols. Any changes to policies, guidelines, education and processes are implemented if indicated. Data reviewed, minutes and interviews with staff confirmed that the use of restraint continues to be minimised. In many cases family resist the removal of bed rails.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382"/>
        <w:gridCol w:w="23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nurse manager, RNs, care assistants and the RN/staff development nurse and review of documented outcomes and evaluation of various HR projects revealed that: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Staff attendance at in service education sessions had increased overall and there was 100% attendance at compulsory training. The attendance of RNs at study days had also improved from 58% to 83%. </w:t>
            </w:r>
          </w:p>
          <w:p w:rsidR="00EB7645" w:rsidRPr="00BE00C7" w:rsidP="00BE00C7">
            <w:pPr>
              <w:pStyle w:val="OutcomeDescription"/>
              <w:spacing w:before="120" w:after="120"/>
              <w:rPr>
                <w:rFonts w:cs="Arial"/>
                <w:b w:val="0"/>
                <w:lang w:eastAsia="en-NZ"/>
              </w:rPr>
            </w:pPr>
            <w:r w:rsidRPr="00BE00C7">
              <w:rPr>
                <w:rFonts w:cs="Arial"/>
                <w:b w:val="0"/>
                <w:lang w:eastAsia="en-NZ"/>
              </w:rPr>
              <w:t>2) The project to increase staff retention/reduce resignations, resulted in a decrease of 41% in resignations between 2016 and 2017. Initiatives such as a staff appreciation awards, and other incentives for working at Matamata Country Lodge were implemented to good effect before the pay equity scheme came into being in mid-2017.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The ‘stream lining’ of orientation and ongoing education for newly employed care assistants has resulted in quantifiable time savings for the staff development nurse, and minimised waste by reducing duplication of resources. This project was linked to another aim to facilitate the smooth transition from the ACE programme to Careerforce qualifications. Ongoing evaluation is showing that starting staff off this way immediately engages them on the pathway to achieving a National Certificate in Health and Wellbeing. This has resulted in an increased uptake of staff progressing toward qualifications. There are now 12 health assistants with Level 4 qualifications and eight new staff enrolled to complete level 3, which are the highest recorded numbers ever.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review process, including analysis of data, three projects have resulted in improvements for staff, which in turn have benefits for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quantifiable improvements in the level of staff attendance at in service education sessions.  </w:t>
            </w:r>
          </w:p>
          <w:p w:rsidR="00EB7645" w:rsidRPr="00BE00C7" w:rsidP="00BE00C7">
            <w:pPr>
              <w:pStyle w:val="OutcomeDescription"/>
              <w:spacing w:before="120" w:after="120"/>
              <w:rPr>
                <w:rFonts w:cs="Arial"/>
                <w:b w:val="0"/>
                <w:lang w:eastAsia="en-NZ"/>
              </w:rPr>
            </w:pPr>
            <w:r w:rsidRPr="00BE00C7">
              <w:rPr>
                <w:rFonts w:cs="Arial"/>
                <w:b w:val="0"/>
                <w:lang w:eastAsia="en-NZ"/>
              </w:rPr>
              <w:t>- The number of care staff resignations has reduced.</w:t>
            </w:r>
          </w:p>
          <w:p w:rsidR="00EB7645" w:rsidRPr="00BE00C7" w:rsidP="00BE00C7">
            <w:pPr>
              <w:pStyle w:val="OutcomeDescription"/>
              <w:spacing w:before="120" w:after="120"/>
              <w:rPr>
                <w:rFonts w:cs="Arial"/>
                <w:b w:val="0"/>
                <w:lang w:eastAsia="en-NZ"/>
              </w:rPr>
            </w:pPr>
            <w:r w:rsidRPr="00BE00C7">
              <w:rPr>
                <w:rFonts w:cs="Arial"/>
                <w:b w:val="0"/>
                <w:lang w:eastAsia="en-NZ"/>
              </w:rPr>
              <w:t>- The number of care assistants enrolled to complete the Level 3 NZ Certificate in Health and Wellbeing (Health Assistant strand) has increased.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November of 2017 it was identified in the hospital that due to residents having their personal cares prioritised, residents were supported late with their breakfasts.  Residents were found to be losing weight, their appetites were also small due to the reduced time gap between offered meals and fluid intake.  A project was undertaken to increase calorie intake for residents thus weight gain and times between meals which included increased fluid and supplemental intake.  The staff decided that residents requiring assistance with their nutritional intake would be supported with their meals in bed before personal cares occurred each morning.  In December of 2017, residents were weighed and all but two residents, due to unwellness and one who had died, have steadily put on weight.  March 2018 recordings have identified that those residents are now stable in maintaining their weight.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due to staff identifying the need to change the way they are caring for their residents which in turn has benefited the residents by supporting them to maintain their weight, nutritional needs and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continues to be reviewed and improved upon with monthly reviews.  As a result, new initiatives and activities are introduced regularly that are of specific interest to residents with the support of the community.  The activities team identified that there was a lack of ‘men’s’ specific activities.  A meeting was held with the male residents and ideas were discussed.  The facility contacted the local men’s group in the community and with their support the male residents were encouraged and supported to make bird boxes with participation at different levels dependent on their capabilities.  Monthly men’s barbecues also occur in the summer.  Feedback of the residents involved was positive and showed an increased satisfaction.  The men’s group has grown in numbers from eight to now 12 members.  Another meeting is being organised to discuss ideas moving forward.  One resident has prepared by buying his own tool box and tools and is ready for ongoing developments.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activities programme is rated as continuous improvement by demonstrating an ongoing review process, increased resident satisfaction with the way activities are initiated and developed in response to residents’ feedback and increased participation in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Matamata Country Lodge Limited - Matamata Country Lodge</w:t>
    </w:r>
    <w:bookmarkEnd w:id="58"/>
    <w:r>
      <w:rPr>
        <w:rFonts w:cs="Arial"/>
        <w:sz w:val="16"/>
        <w:szCs w:val="20"/>
      </w:rPr>
      <w:tab/>
      <w:t xml:space="preserve">Date of Audit: </w:t>
    </w:r>
    <w:bookmarkStart w:id="59" w:name="AuditStartDate1"/>
    <w:r>
      <w:rPr>
        <w:rFonts w:cs="Arial"/>
        <w:sz w:val="16"/>
        <w:szCs w:val="20"/>
      </w:rPr>
      <w:t>9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