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Tainui Home Trust Board - Tainui Resthome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Tainui Home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Tainui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March 2018</w:t>
      </w:r>
      <w:bookmarkEnd w:id="7"/>
      <w:r w:rsidRPr="009418D4">
        <w:rPr>
          <w:rFonts w:cs="Arial"/>
        </w:rPr>
        <w:tab/>
        <w:t xml:space="preserve">End date: </w:t>
      </w:r>
      <w:bookmarkStart w:id="8" w:name="AuditEndDate"/>
      <w:r w:rsidR="00A4268A">
        <w:rPr>
          <w:rFonts w:cs="Arial"/>
        </w:rPr>
        <w:t>16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Tainui Resthome provides rest home and hospital (geriatric) level care for up to 60 residents. The service is operated by Tainui Home Trust Board and managed by a chief executive officer and a clinical manager.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contracted allied health providers and two general practitioners.   </w:t>
      </w:r>
    </w:p>
    <w:p w:rsidRPr="00A4268A">
      <w:pPr>
        <w:spacing w:before="240" w:line="276" w:lineRule="auto"/>
        <w:rPr>
          <w:rFonts w:eastAsia="Calibri"/>
        </w:rPr>
      </w:pPr>
      <w:r w:rsidRPr="00A4268A">
        <w:rPr>
          <w:rFonts w:eastAsia="Calibri"/>
        </w:rPr>
        <w:t>The audit has resulted in three areas of continuous improvement. These are related to responding to residents’ spiritual needs, the introduction of cooking classes as part of the activities programme and changes to the menus. One area requiring improvement is identified, relating to the inclusion of all required support in residents’ care plans.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was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 xml:space="preserve">A complaints register is maintained and was up to date on the days of the audit. Complaints are resolved promptly and effectively with respectful communication to complainants.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Trust.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both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range of clinical information. Short term care plans are developed to manage any new problems that might arise. Residents’ files reviewed demonstrated that needs, goals and outcomes identified are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two diversional therapists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One enabler and 11 restraints were in use at the time of audit.  Use of enablers is voluntary for the safety of residents in response to individual requests. An effective assessment, approval and monitoring process with regular reviews occurs.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co-ordinator, aims to prevent and manage infections. Specialist infection prevention and control advice is accessed from the district health board, public health and the trust’s external advisor.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8"/>
        <w:gridCol w:w="1280"/>
        <w:gridCol w:w="95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Tainui Resthome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showed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advance directive requests,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Brochures related to the Advocacy Service were available at reception. The two chaplains act as residents’ independent advocates and are onsite and on call always if needed. Interview with one of the advocates verifies knowledge and responsibility of the role, in addition to confirming management’s prompt response to any concerns.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make a complaint.  Complaints and compliments forms are available in places around the facility where residents and family members can freely access them along with a secure box to ‘post’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10 complaints were raised in 2017, and four so far in 2018.  All complaints had appropriate actions taken, had been managed through to an agreed resolution, and were documented and completed within required timeframes.  When needed, action plans showed any follow up and improvements have been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assurance coordinator is responsible for ensuring complaints management occurs within required timeframes and that managers are following the relevant organisational processes.  All staff interviewed confirmed a sound understanding of the complaint process, and what actions are required of them in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onsite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 and family satisfaction survey of 2017, one of the 19 respondents said there were often not people available to receive complaints. The remaining 18 respondents had either no strong opinion (three respondents) or were satisfied with the response to issues and complaints that were raised (15 respondents).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during the audit stated they were comfortable raising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being made aware of the Code and the Nationwide Health and Disability Advocacy Service (Advocacy Service) as part of the admission information provided and discussion with staff. The Code is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in discussion with families and the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A comprehensive spiritual assessment is undertaken on admission and is updated and reviewed on a regular basis. The services response to meeting the spiritual needs of residents, is recognised for its commitment to continuous improvement.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residents in Tainui Resthome at the time of audit who identify as Māori, however interviews verified that staff can support residents who identify as Māori to integrate their cultural values and beliefs. The principles of the Treaty of Waitangi are incorporated into day to day practice, as is the importance of whānau to Māori residents. There is a current Māori health plan developed with input from cultural advisers.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Both general practitioners (GPs) interviewed,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the hospice/palliative care team, clinical nurse specialist, physiotherapist, occupational therapist, speech language therapist, wound care specialist, community dieticians, services for older people and mental health services for older people.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four bedded ‘older persons health and rehabilitation service unit’.  The Taranaki District Health Board (TDHB) provides the specialist input to the residents in this unit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GPs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they receive management support for internal and external education. Two 30-minute interactive training sessions are held twice a month and evidence good attendance. Staff are supported to access training sessions at the TDHB, or training in-house by TDHB specialists and on-line training sessions. The organisation supports staff to attend conferences.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TDHB, however staff reported interpreter services were rarely required due to all present residents being able to speak English or having family members who can assist.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business plan, which is reviewed annually, outlines the purpose, values, scope, direction and goals of the organisation. The document described annual and longer term objectives with the associated operational plans. A sample of bi-monthly reports to the Trust Board of directors showed adequate information to monitor performance is reported including financial performance, emerging risks and issues, adverse events, section 31 notifications and any other issues of which the Board needs to be notified.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chief executive officer who is a registered nurse with a practising certificate with a leadership scope of practice, and who has an MBA and has experience as a manager in the aged care sector. He has been at Tainui Village for five years. He is assisted in management of the aged care facility by a clinical manager who has been in the role for four years. She is an experienced registered nurse who has worked at the local district health board (DHB).  Responsibilities and accountabilities for both roles are defined in job descriptions and both have an individual employment agreement.  The CEO confirmed knowledge of the sector, regulatory and reporting requirements and maintains currency through attending conferences and forums run by the Retirement Villages Association (RVA) and the New Zealand Aged Care Association (NZACA) and reading clinical journals and articles. The clinical manager similarly maintains her clinical knowledge through attendance at internal and relevant external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(relevant to this audit) with the Taranaki DHB (TDHB) for aged related residential care, respite, long term chronic health conditions (LTCHC), and the EICAT rehabilitation contract. On the first day of the audit 51 residents were receiving services at Tainui Village, and three residents were in hospital at the TDHB.  There were no residents receiving respite care* or funded by the LTCHC contracts. There were 38 residents receiving rest home level care; 34 under the ARRC contract and four under the EICAT rehabilitation contract. There were 13 residents receiving hospital level care all under the ARRC contract. All beds in the facility are approved for dual purpose care.  </w:t>
            </w:r>
          </w:p>
          <w:p w:rsidR="00EB7645" w:rsidRPr="00BE00C7" w:rsidP="00BE00C7">
            <w:pPr>
              <w:pStyle w:val="OutcomeDescription"/>
              <w:spacing w:before="120" w:after="120"/>
              <w:rPr>
                <w:rFonts w:cs="Arial"/>
                <w:b w:val="0"/>
                <w:lang w:eastAsia="en-NZ"/>
              </w:rPr>
            </w:pPr>
            <w:r w:rsidRPr="00BE00C7">
              <w:rPr>
                <w:rFonts w:cs="Arial"/>
                <w:b w:val="0"/>
                <w:lang w:eastAsia="en-NZ"/>
              </w:rPr>
              <w:t>*As Tainui Village has a co-located retirement village, residents of the village are able to access respite care through the Occupational Right Agreements (ORAs). On the days of this audit there were no retirement village residents utilising respite care although at other times there may be. All ORA units are outside the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 short-term absence of the CEO either the Clinical Manager or the Operations Manager will undertake the role of acting manager of the facility. If the Clinical Manager picks up these duties, her senior registered nurse will take over some of the clinical management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At interview with staff members they reported that the management team are approachable and available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The quality assurance coordinator was interviewed during the audit and described two changes to the quality management system which have occurred since the last audit. The facility has entered into an arrangement with an experienced contractor in the aged care sector who provides a range of services to aged care providers. Tainui is utilising the adverse event analysis, with benchmarking of data, and a complete suite of policies and procedures. This arrangement includes the policies and procedures being tailored to Tainui’s systems and structure, ensuring they are reviewed regularly in conjunction with Tainui and cover all necessary aspects of the service and contractual requirements. All policies reviewed for the stage one audit were current, reflected best practice in the sector and were consistent with Tainui Village. There is a document control system which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adverse event system incorporates the management of incidents and accidents, compliments and complaints, internal audit, a regular resident and family satisfaction survey, and monitoring of clinical incidents including infections and falls. All event data is reviewed as it occurs and then is entered into an electronic database which allows for analysis and evaluation of identification of any trends. This database provides benchmarking of Tainui’s adverse events with other similar aged care facilities and is part of the services provided by the external contractor.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regular meetings including management and staff meetings. Staff members reported they receive information about audit activities through staff meetings and summarised quality improvement data is provided in graphed form in the staff room.  Relevant corrective actions are developed and implemented to address any shortfalls. The electronic system was reviewed with the quality assurance coordinator and examples of adverse events, graphed data and benchmarked information provided on a monthly basis were seen.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with the most recent survey completed in 2017. The overall satisfaction rating for Tainui Village was 94%.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last audit the facility identified some areas they wished to work on, and several projects are underway.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interview with the CEO he described the processes for the identification, monitoring, review and reporting of risks and development of mitigation strategies. The risk management plan is reviewed, and amended as needed, with two monthly reporting to the Board of Trustees. Examples of this were seen in sampled Board reports in 2017 and early 2018. The CEO and quality assurance coordinator are both familiar with the Health and Safety at Work Act (2015) and have implemented its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incident/accident form. A sample of adverse event forms reviewed showed these were fully completed, incidents were investigated, and action plans developed and followed-up in a timely manner.  Adverse event data is collated, analysed and entered into the electronic database (see Standard 1.2.3). Staff members interviewed confirmed that they receive collated information at meetings and in graphed form. </w:t>
            </w:r>
          </w:p>
          <w:p w:rsidR="00EB7645" w:rsidRPr="00BE00C7" w:rsidP="00BE00C7">
            <w:pPr>
              <w:pStyle w:val="OutcomeDescription"/>
              <w:spacing w:before="120" w:after="120"/>
              <w:rPr>
                <w:rFonts w:cs="Arial"/>
                <w:b w:val="0"/>
                <w:lang w:eastAsia="en-NZ"/>
              </w:rPr>
            </w:pPr>
            <w:r w:rsidRPr="00BE00C7">
              <w:rPr>
                <w:rFonts w:cs="Arial"/>
                <w:b w:val="0"/>
                <w:lang w:eastAsia="en-NZ"/>
              </w:rPr>
              <w:t>The quality assurance coordinator described essential notification reporting requirements, including for pressure injuries, and serious adverse events.  They advised there have been seven section 31 notifications since the beginning of 2017, although three of these were for fractures which they have since understood are no longer required to be reported. A recent serious adverse event required reporting to other external agencies and review of documentation indicated that appropriate notifications had been sent.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members new to their positions reported that their orientation process prepared them well for their role.  Staff records reviewed showed documentation of completed orientation and a performance review after three-months and then annually thereafter.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(NZQA) education programme to meet the requirements of the provider’s agreement with the TDHB.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which provides safe service delivery, 24 hours a day, seven days a week (24/7). The clinical manager was interviewed in relation to how the care staff (RNs and caregivers) are rostered. At all times the facility is rostered as if they were fully occupied. There is flexibility within several part time shifts to adjust staffing levels to meet the changing needs of residents. The interRAI Acuity report, planned leave and the contracted full and part-time hours of some care staff members are also factors considered when changes may be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afterhours on call roster is in place, with staff reporting that good access to advice is available when needed.   Care staff reported there were adequate staff available to complete the work allocated to them.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a four-week roster cycle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diversional therapists work regular hours each fortnight.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was interviewed in relation the house-keeping and kitchen staff. There are designated cleaning and laundry staff seven days a week. When needed laundry services may be outsourced. In the kitchen there is a cook on duty seven days a week, during the day and in the early evening, supported by kitchen hands. </w:t>
            </w:r>
          </w:p>
          <w:p w:rsidR="00EB7645" w:rsidRPr="00BE00C7" w:rsidP="00BE00C7">
            <w:pPr>
              <w:pStyle w:val="OutcomeDescription"/>
              <w:spacing w:before="120" w:after="120"/>
              <w:rPr>
                <w:rFonts w:cs="Arial"/>
                <w:b w:val="0"/>
                <w:lang w:eastAsia="en-NZ"/>
              </w:rPr>
            </w:pPr>
            <w:r w:rsidRPr="00BE00C7">
              <w:rPr>
                <w:rFonts w:cs="Arial"/>
                <w:b w:val="0"/>
                <w:lang w:eastAsia="en-NZ"/>
              </w:rPr>
              <w:t>In the September 2017 employee survey, 31 of 34 respondents agreed with the statement ‘The amount of work I do is reasonable.’ Staff members interviewed during the audit also confirmed that there were sufficient numbers of staff.</w:t>
            </w:r>
          </w:p>
          <w:p w:rsidR="00EB7645" w:rsidRPr="00BE00C7" w:rsidP="00BE00C7">
            <w:pPr>
              <w:pStyle w:val="OutcomeDescription"/>
              <w:spacing w:before="120" w:after="120"/>
              <w:rPr>
                <w:rFonts w:cs="Arial"/>
                <w:b w:val="0"/>
                <w:lang w:eastAsia="en-NZ"/>
              </w:rPr>
            </w:pPr>
            <w:r w:rsidRPr="00BE00C7">
              <w:rPr>
                <w:rFonts w:cs="Arial"/>
                <w:b w:val="0"/>
                <w:lang w:eastAsia="en-NZ"/>
              </w:rPr>
              <w:t>As noted in Standard 1.2.1, none of the retirement village ORA units are included in the certified bed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meet with the clinical nurse manager (CNM).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TDHB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however appropriate processes are in place to ensure this can be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CNM and recorded on an accident/incident form. The resident and/or the designated representative are advised. There is a process for comprehensive analysis of any medication errors, and compliance with this process in relation to a recent medication error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is in line with recognised nutritional guidelines for older people. The menu follows summer and winter patterns and has been reviewed by a qualified dietitian in January 2018. Recommendations made at that time have been implemented. Documentation verified a food control plan was registered with the council in June 2017. Tainui Resthome is waiting for a verification audit of the plan.</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in resident meeting minutes. Any areas of dissatisfaction were promptly responded. This is an area recognised as one of continuous improvement. Residents were seen to be given time to eat their meal in an unhurried fashion and those requiring assistance had this provided. There were sufficient staff on duty in the dining rooms at meal times to ensure appropriate assistance was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CNM.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Tainui Resthome are initially assessed using a range of nursing assessment tools, such as pain scale, falls risk, skin integrity, nutritional screening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are completed as per the policy and within 24 hours of admission. InterRAI assessments are completed within three weeks of admission and at least six monthly unless the resident’s condition changes.  Interviews, documentation and observation verifies the RNs are familiar with requirement for reassessment of a resident using the interRAI assessment tool when a resident has increasing or changing need levels. </w:t>
              <w:br/>
              <w:br/>
              <w:t>All residents, have current interRAI assessments completed by five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provided, documented in the progress notes and verbally passed on to relevant staff; however, this was not always well documented in the care plan. Care plans reviewed were not always reflective of the support needs of residents, the outcomes of the integrated assessment process and other relevant clinical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except for care plan documentation referred to in criterion 1.3.5.2. The attention to meeting a diverse range of resident’s individualised needs was evident in all areas of service provision.  The GPs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trained diversional therapists, each working 33 hours per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included normal community activities. Individual, group activities and regular events are offered. Examples included exercises, choir practice, care of a turtle and an aviary, spiritual meetings, visiting entertainers, favourite music sessions, readings, poetry, pampering sessions, quiz sessions and daily news updates. An initiative to improve residents’ involvement in activities is acknowledged as an area of continuous improvement.  The activities programme is discussed at the minuted residents’ meetings and indicated residents’ input is sought and responded to.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 term care plans were consistently reviewed for infections, pain,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several main medical providers, residents may choose to use another medical practitioner. If the need for other non-urgent services are indicated or requested, the GP or RN sends a referral to seek specialist input.  Copies of referrals were sighted in residents’ files, including to older persons’ mental health services.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 Staff members interviewed stated that there are adequate supplies for protective clothing and equipment available for them. Supplies were observed in utility rooms, on the cleaners’ trolleys, in the laundry and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expires 23 January 2019 and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the quality assurance coordinator and observation of the environment. The environment was hazard free, residents were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bedrooms with ensuite toilets which share a closely located shower (five bedrooms), ten bedrooms which share five full ensuite bathrooms, and the remaining rooms all have their own full ensuite bathroom. </w:t>
            </w:r>
          </w:p>
          <w:p w:rsidR="00EB7645" w:rsidRPr="00BE00C7" w:rsidP="00BE00C7">
            <w:pPr>
              <w:pStyle w:val="OutcomeDescription"/>
              <w:spacing w:before="120" w:after="120"/>
              <w:rPr>
                <w:rFonts w:cs="Arial"/>
                <w:b w:val="0"/>
                <w:lang w:eastAsia="en-NZ"/>
              </w:rPr>
            </w:pPr>
            <w:r w:rsidRPr="00BE00C7">
              <w:rPr>
                <w:rFonts w:cs="Arial"/>
                <w:b w:val="0"/>
                <w:lang w:eastAsia="en-NZ"/>
              </w:rPr>
              <w:t>There are appropriately secured and approved handrails in the toilet and shower areas, and other equipment and accessories are available to promote residents’ independence when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there are designation visitor and staff toilets available in the facility. All toilets and bathrooms have appropriate security and privacy locks.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Rooms are personalised with furnishings, photos and other personal items displayed. There is room to store mobility aids, wheel chairs and mobility scooters. Staff and residents reported the adequacy of bedrooms.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but two bedrooms provide single accommodation.  The double bedrooms are of an appropriate size and configuration to accommodate two people. </w:t>
            </w:r>
          </w:p>
          <w:p w:rsidR="00EB7645" w:rsidRPr="00BE00C7" w:rsidP="00BE00C7">
            <w:pPr>
              <w:pStyle w:val="OutcomeDescription"/>
              <w:spacing w:before="120" w:after="120"/>
              <w:rPr>
                <w:rFonts w:cs="Arial"/>
                <w:b w:val="0"/>
                <w:lang w:eastAsia="en-NZ"/>
              </w:rPr>
            </w:pPr>
            <w:r w:rsidRPr="00BE00C7">
              <w:rPr>
                <w:rFonts w:cs="Arial"/>
                <w:b w:val="0"/>
                <w:lang w:eastAsia="en-NZ"/>
              </w:rPr>
              <w:t>One of these two rooms is designated as the palliative care suite. It is privately located and has dual access, room for a family member to sleep with their relative. The second double room is only shared when approval has been sought. The palliative care suite was vacant on the days of the audit and the other double bedroom was occupied by a single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feedback from the 2017 survey and during this audit was that the bedrooms are appropriate for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additional areas for privacy, if required. This includes a chapel and library and additional areas with seating and tables are available for residents to read and take part in their own or small group activities.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in a dedicated laundry.  Laundry staff members demonstrated a sound knowledge of the laundry processes, dirty to clean flow and handling of soiled linen.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cleaning team and one of the two staff working during the audit was interviewed.  Chemicals were stored in a lockable cupboard when not in use and were in appropriately labelled containers on the cleaners’ trolleys.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cleaning and laundry staff have completed required internal training and have either Level 2 or Level 3 NZQA qualifications, as confirmed in interview and review of personnel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internal audit programme. The most recent internal audit in January 2018 resulted in no formal corrective actions. The results were reported through the online database and through the management reporting system.   </w:t>
            </w:r>
          </w:p>
          <w:p w:rsidR="00EB7645" w:rsidRPr="00BE00C7" w:rsidP="00BE00C7">
            <w:pPr>
              <w:pStyle w:val="OutcomeDescription"/>
              <w:spacing w:before="120" w:after="120"/>
              <w:rPr>
                <w:rFonts w:cs="Arial"/>
                <w:b w:val="0"/>
                <w:lang w:eastAsia="en-NZ"/>
              </w:rPr>
            </w:pPr>
            <w:r w:rsidRPr="00BE00C7">
              <w:rPr>
                <w:rFonts w:cs="Arial"/>
                <w:b w:val="0"/>
                <w:lang w:eastAsia="en-NZ"/>
              </w:rPr>
              <w:t>The annual resident satisfaction survey in 2017 had a positive (94%) response for laundry and cleaning. Residents interviewed during the audit also reported that their laundry and cleaning was managed well and their clothes are returned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2 October 1995.  A trial evacuation takes place six-monthly with a copy sent to the New Zealand Fire Service, the most recent being on 30 Jan 2018.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cooking facilities were sighted and meet the requirements for the residents in the facility. Water storage tanks are located around the complex, and there is a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and a security company checks the premises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living and recreation rooms have natural light, opening external windows and all have views onto outside gardens. All residents’ rooms and communal areas are heated and ventilated appropriately.  Heating is provided with wall mounted radiators in residents’ bedrooms and in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The facility was maintained at a comfortable temperature and all areas were well ventilated during the audit.  Residents and families confirmed the facilities are maintained at a comfortable temperature throughout the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by an external advisor with input from the clinical nurse manager (CNM).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senior RN with input from the CNM is the designated infection control coordinator, whose role and responsibilities are defined in a job description. Infection control matters, including surveillance results, are reported monthly to the CNM and tabled at the quality/risk meeting.  Infection control statistics are entered in the organisation’s electronic database and benchmarked with other facilities. The organisation’s quality manager is informed of any IPC concerns.</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(ICC) has appropriate skills, knowledge and qualifications for the role, and is being assisted by the CNM and the organisation’s external advisor.  The ICC has undertaken on line training in infection prevention and control and attended relevant study days with the TDHB, as verified in training records sighted.  Well-established local networks with the infection control team at the DHB are available.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and CNM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r w:rsidRPr="00BE00C7">
              <w:rPr>
                <w:rFonts w:cs="Arial"/>
                <w:b w:val="0"/>
                <w:lang w:eastAsia="en-NZ"/>
              </w:rPr>
              <w:t>A recent loss of water supply to the region saw Tainui Resthome manage the risk, with the purchase of bottled water and wet wipes, and ensured no incidents of cross infection. There have been no incidents of norovirus at Tainui Rest Home in the past five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IPC at orientation and ongoing education sessions. Education is provided by suitably qualified RNs, clinical nurse specialists (CNSs) and the ICC.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An example of this occurred when there was a recent loss of water supply to the region.</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 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ICC and CNM review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with other aged care providers.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11 residents were using restraints and one resident was using an enabler. The enabler was the least restrictive option and was used voluntarily.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alternatives have been explored. This was evident on review of the restraint approval group minutes, files reviewed, and from interviews with the restraint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clinical manager, the diversional therapist and the restraint coordinator, are responsible for the approval of the use of restraints and the restraint processes. It was evident from review of restraint approval group meeting minutes, residents’ files and interviews with the restraint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the senior RN at the facility. She has been in the role for four months. She demonstrated a sound understanding of the intent of this Standard.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family/enduring power of attorney (EPOA) involvement in the decision making was on file in each case sampled. Use of a restraint or an enabler is recorded in each resident’s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the eleven residents who had approved restraints were sampled. This included the one enabler which is a chair placed at the end of a resident’s bed at their request and provides reassurance. Assessments for the use of restraints were documented and included all requirements of the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undertakes the initial assessment with the restraint coordinator’s involvement, and input from the resident’s family / EPOA. The restraint coordinator described the documented process. Families’ involvement was confirmed through records on the files samples. </w:t>
            </w:r>
          </w:p>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minimised and the restraint coordinator described how alternatives to restraints are discussed with staff and family members (eg, the use of sensor mats, low beds and de-escalation and recreation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three months and reviewed at each restraint approval group meeting. The register was reviewed and contained all residents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three monthly restraint evaluations and at the restraint approval group meetings.  Families involvement in the evaluation process is recorded on the evaluation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undertakes a six-monthly review of all restraint use which includes all the requirements of this Standard. Six monthly restraint meetings and reports are completed and individual use of restraint use is reported to the quality and staff meetings.  This review was most recently completed by the current restraint coordinator in February 2018.  Minutes of the meeting reviewed confirmed this included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w:t>
            </w:r>
          </w:p>
          <w:p w:rsidR="00EB7645" w:rsidRPr="00BE00C7" w:rsidP="00BE00C7">
            <w:pPr>
              <w:pStyle w:val="OutcomeDescription"/>
              <w:spacing w:before="120" w:after="120"/>
              <w:rPr>
                <w:rFonts w:cs="Arial"/>
                <w:b w:val="0"/>
                <w:lang w:eastAsia="en-NZ"/>
              </w:rPr>
            </w:pPr>
            <w:r w:rsidRPr="00BE00C7">
              <w:rPr>
                <w:rFonts w:cs="Arial"/>
                <w:b w:val="0"/>
                <w:lang w:eastAsia="en-NZ"/>
              </w:rPr>
              <w:t>An annual internal audit that is carried out also informs these meetings. This last occurred in September 2017. Any changes to policies, guidelines, education and processes are implemented when needed.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87"/>
        <w:gridCol w:w="1280"/>
        <w:gridCol w:w="7886"/>
        <w:gridCol w:w="1581"/>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nine care plans reviewed did not include documentation that fully reflected the required support the resident needed to achieve the desired outcome. There was no sighted documentation in the care plans to recognise the existence of the associated risks and required support needed to minimise the risks, in the following residents: a resident on anticoagulant therapy for deep vein thrombosis; a resident who had had a substantial injury following a fall and requiring a section 31 notification; a resident with compromised vision; and a resident who had had a fracture and now had a high risk of pressure injuries. Interviews, observation and additional documentation did, however, verify the required support was being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in the care plans was not always reflective of the support required to meet the residents’ desired outcome.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reflect fully the support required to meet residents’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7768"/>
        <w:gridCol w:w="29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1.1.3.2</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that are responsive to the needs, values, and beliefs of the cultural, religious, social, and/or ethnic group with which each consumer identifies.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verified that there are two chaplains employed and present onsite at Tainui Resthome, 30 hours per week. They are also on call and available to residents and families at any time, providing residents, staff and families with counselling, prayer meetings and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from residents and families (as recorded in meeting minutes), identified the chapel was too small and often overflowing, with some residents not being able to attend. If the chapel was required for private conversations it had to be closed off and church services had to be held in the large recreation room. Residents’ feedback, identified the residents ‘felt lost’ in the recreation room, could not hear the service and had trouble following the service and reading the hymn books. A new chapel was created for residents, by transforming an underused craft room. The new space has enabled chaplains to hold daily prayer mornings, with more residents being able to attend. In addition, it has allowed the provision of small church services and funerals in a private space. The old chapel remains, as a second chapel when required. In addition, a screen and projector has been provided to assist the residents in following the service and hymns. Since the changes were implemented, attendance at prayer meetings five days per week has increased from six to 20 residents. Residents’ satisfaction surveys support the improvement in the services attention to meeting the residents’ spiritual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responded to the residents requests to expand and improve the services available to meet the residents spiritual needs. This has enabled more residents to attend services, an ability to focus on residents individualised spiritual needs, a more personalised approach in addition to an opportunity for smaller group meetings to occur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resident meeting minutes and resident surveys over the previous year (July 2016 to July 2017) revealed ongoing dissatisfaction with the food service meeting the nutritional needs of the resident, specifically in relation to residents not being provided with a ‘Choice” at meal times. Representatives from Tainui Resthome visited other facilities to view available meal options and had discussion with other providers at the providers’ conference, in addition to discussion forums with the residents. It was decided with input from the kitchen and the dietician to create a completely new menu that rather than just offer a certain dish each meal time, was expanded to enable residents a choice of meals. The residents requests have been addressed by offering a range of choices at meal times, giving residents a choice of two hot dishes and/or salad at lunchtime. Previously the cook prepared the evening meal and it was reheated prior to being served.  A chef is now employed at tea time and prepares such options as homemade rather than processed soups. In the longer term, the goal is to offer residents self-service. The menu is filled in by the resident the day before, and residents select which meal they would like.</w:t>
            </w:r>
          </w:p>
          <w:p w:rsidR="00EB7645" w:rsidRPr="00BE00C7" w:rsidP="00BE00C7">
            <w:pPr>
              <w:pStyle w:val="OutcomeDescription"/>
              <w:spacing w:before="120" w:after="120"/>
              <w:rPr>
                <w:rFonts w:cs="Arial"/>
                <w:b w:val="0"/>
                <w:lang w:eastAsia="en-NZ"/>
              </w:rPr>
            </w:pPr>
            <w:r w:rsidRPr="00BE00C7">
              <w:rPr>
                <w:rFonts w:cs="Arial"/>
                <w:b w:val="0"/>
                <w:lang w:eastAsia="en-NZ"/>
              </w:rPr>
              <w:t>An evaluation of the changes has revealed approval of the new menu and no evidence of dissatisfaction with the food service in resident meeting minutes. Resident interviews and observation verified this finding.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surveys identified residents at Tainui rest home, wanted more than a meal service that met their nutritional needs, they wanted a meal service that enabled them a choice each day over what they’d like to eat. The service has responded to residents’ requests implementing a daily menu that offers a selection of food choices to be available at mealtimes and the availability of access to home cooked items. Evaluations verify improved satisfaction with the food service at Tainui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had noted several new residents were reluctant to come out of their rooms and be involved with the existing rest home, hospital and village residents. They declined invitations to join in regular activities. It was decided to initiate a ‘cooking class’ for all residents to be able to attend, as cooking was something everyone could relate to. The response was positive, with initially 8-10 residents requesting to attend, however space was limited.  A small kitchen was built in the recreation room, enabling all residents to attend. A coffee machine was also purchased. The cooking sessions are held fortnightly with 20-25 residents attending. The ‘observed’ session was social and interactive, with the diversional therapist preparing and cooking under the guidance and direction of the residents. Residents choose what to cook the next session. While the items are cooking, the diversional therapist initiates discussion and stories from the past. When the baking is complete residents share the food with a coffee and a chat. Families are welcome to attend; however, it is recorded residents will make other arrangements if appointments or visits are at risk of compromising attendance at the cooking class. Residents are welcome to participate however choose to observe and advise.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implementation of cooking classes at Tainui Resthome, to encourage the involvement of more residents has seen an increase in resident participation and a decrease in the number of residents remaining in their rooms.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Tainui Home Trust Board - Tainui Resthome</w:t>
    </w:r>
    <w:bookmarkEnd w:id="58"/>
    <w:r>
      <w:rPr>
        <w:rFonts w:cs="Arial"/>
        <w:sz w:val="16"/>
        <w:szCs w:val="20"/>
      </w:rPr>
      <w:tab/>
      <w:t xml:space="preserve">Date of Audit: </w:t>
    </w:r>
    <w:bookmarkStart w:id="59" w:name="AuditStartDate1"/>
    <w:r>
      <w:rPr>
        <w:rFonts w:cs="Arial"/>
        <w:sz w:val="16"/>
        <w:szCs w:val="20"/>
      </w:rPr>
      <w:t>15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