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Central - Levin War Veterans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Central</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Levin Home for War Veterans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5 December 2017</w:t>
      </w:r>
      <w:bookmarkEnd w:id="7"/>
      <w:r w:rsidRPr="009418D4">
        <w:rPr>
          <w:rFonts w:cs="Arial"/>
        </w:rPr>
        <w:tab/>
        <w:t xml:space="preserve">End date: </w:t>
      </w:r>
      <w:bookmarkStart w:id="8" w:name="AuditEndDate"/>
      <w:r w:rsidR="00A4268A">
        <w:rPr>
          <w:rFonts w:cs="Arial"/>
        </w:rPr>
        <w:t>6 December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Levin Home for War Veterans is owned by Presbyterian Support Central (PSC) and provides care for up to 80 residents at rest home, hospital and dementia level care.  Occupancy on the days of the audit was 65 residents.</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 facility manager at PSC Levin Home for War Veterans commenced the role in September 2016 and also manages the nearby PSC Reevedon facility.  The facility manager is supported by a clinical nurse manager, clinical coordinator, administration team leader and a regional manager.  Residents interviewed spoke positively about the service provided.</w:t>
      </w:r>
    </w:p>
    <w:p w:rsidRPr="00A4268A">
      <w:pPr>
        <w:spacing w:before="240" w:line="276" w:lineRule="auto"/>
        <w:rPr>
          <w:rFonts w:eastAsia="Calibri"/>
        </w:rPr>
      </w:pPr>
      <w:r w:rsidRPr="00A4268A">
        <w:rPr>
          <w:rFonts w:eastAsia="Calibri"/>
        </w:rPr>
        <w:t>The service has addressed nine of the eleven shortfalls from the previous certification audit relating to Māori values and beliefs, service provision, assessments, care planning, interventions, evaluations and medicine management.    Improvements continue to be required in relation to information management systems, and activities.</w:t>
      </w:r>
    </w:p>
    <w:p w:rsidRPr="00A4268A">
      <w:pPr>
        <w:spacing w:before="240" w:line="276" w:lineRule="auto"/>
        <w:rPr>
          <w:rFonts w:eastAsia="Calibri"/>
        </w:rPr>
      </w:pPr>
      <w:r w:rsidRPr="00A4268A">
        <w:rPr>
          <w:rFonts w:eastAsia="Calibri"/>
        </w:rPr>
        <w:t>This audit has identified further improvements required around the integration of care and building warrant of fitness.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ensures effective communication with all stakeholders including residents and families.  Full information is provided at entry to residents and family/whānau.  The rights of the residents and/or their family to make a complaint is understood, respected and upheld by the service.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PSC Levin Home for War Veterans continues to implement the Presbyterian Support Services Central quality and risk management system that supports the provision of clinical care.  Key components of the quality management system link to monthly senior team meetings.  An annual resident satisfaction survey is completed and there are regular resident meetings.  There are human resources policies including recruitment, selection, orientation and staff training and development.  The service has a documented induction programme for all roles within the service.  There is an organisational training programme covering relevant aspects of care and support.  The staffing policy aligns with contractual requirements and includes skill mixes.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registered nurses are responsible for each stage of service provision.  A registered nurse assesses and reviews residents' needs, outcomes and goals with the resident and/or family/whānau input.  Resident files included medical notes by the contracted GP and visiting allied health professionals.  The recreational team provide an activities programme for the residents that is varied, interesting and involves the families/whānau and community.  Medication policies comply with legislative requirements and guidelines.  Registered nurses and healthcare assistants responsible for administration of medicines complete education and annual medication competencies.  All meals are prepared on-site.  Food, fridge and freezer temperatures are recorded.  Special dietary needs are catered for.  Residents and family/whānau interviewed were complimentary about the food that was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The building warrant of fitness expired on 1 September 2017.  There was no current warrant of fitness for the building.  Advised that it has been delayed due to three unresolved issues relating to the building, which are still to be addressed.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and documents for the safe assessment, planning, monitoring and review of restraint and enablers.  The service had no residents requiring enablers and no residents assessed as requiring the use of restraint on the day of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surveillance programme is appropriate to the size and complexity of the service.  Results of surveillance are acted upon, evaluated and reported to relevant personnel.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complaints policy to guide practice and this is communicated to resident/family.  The facility manager leads the investigation and management of complaints (verbal and written).  There is a complaint register that records activity.  Complaints are discussed at the senior management team meeting and the two-monthly staff meetings.  Information on making a complaint and the forms are visible around the facility.  Three complaints have been made since the last audit.   Follow-up communication, investigation and outcomes were documented.  One complaint received in September 2017 is still ongoing.  Discussion with residents and relatives confirmed they were aware of how to make a complaint.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one resident that identified as Maori on the day of the audit.  The resident’s file was reviewed and had cultural beliefs and values identified.  This is an improvement on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open disclosure policy.  Discussions with seven residents (five hospital and two rest home) and five family members (hospital) confirmed they were given time and explanation about services and procedures on admission. There are six-monthly meetings held with relatives.  The facility manager, clinical nurse manager and clinical coordinator have an open-door policy.  Accident/incident forms have a section to indicate if family have been informed (or not) of an accident/incident.  Twelve accident/incident forms sampled from October and November 2017 identify that family were notified following a resident incident.  Interviews with four healthcare assistants (HCA), three registered nurses (RN), one clinical coordinator and one clinical nurse manager confirmed that family members are kept informed.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PSC Levin Home for War Veterans is part of the Presbyterian Support Central organisation (PSC) and provides rest home, hospital and dementia level of care for up to 80 residents.  The hospital services are provided in three wings (Kowhai has twelve beds, Rimu has four beds and Totara Wing has fifteen beds).  The rest home services are provided in two wings (Pohutakawa wing has seven beds and Kauri Wing has twenty-four beds). There is an 18-bed dementia level care unit (Matai).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65 residents (26 residents at rest home level including 1 resident on respite, 31 residents at hospital level and 8 residents in the dementia care).  All residents were on the aged related residential care (ARRC) agreement.  Across the 62-rest home/hospital beds, there are 12 dual purpose beds (6 in the hospital area and 6 in the rest home areas).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at PSC Levin Home for War Veterans commenced the role in September 2016 and also manages the nearby PSC Reevedon facility.  The facility manager was absent during the days of the audit.  The clinical nurse manager, clinical coordinator and administration team leader provide support to the facility manager.  The clinical nurse manager has been in the position since August 2016 and has over 10 years’ experience within the aged care industry.  The clinical coordinator has been in the role for one year and has worked at the facility for five years.  The administration team leader has been in the position for 10 years.  The facility manager is also supported by a regional manager, who visits on a regular basis.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PSC Levin Home for War Veterans has a 2017–2018 business plan and a mission and vision statement defined.  The business plan outlines a number of goals for the year, each of which has defined objectives against quality and health and safety.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clinical nurse manager have maintained at least eight hours annually of professional development activities related to managing a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Central has an overall quality monitoring programme (QMP) that is part of the quality programme and includes internal benchmarking with the other PSC sites.  The senior team meeting acts as the quality committee and they meet twice a month.  Information is fed back to the monthly clinical focused meetings and bi-monthly staff meetings.  A range of other meetings is held at the facility.  Meeting minutes and reports are provided to the senior team, clinical and staff meeting, actions are identified in minutes and quality improvement forms, which are being signed off and reviewed for effectiveness.  The facility manager has an understanding of the contractual agreements and requirements.  The regional manager provides oversight and support to the facility manager.   </w:t>
            </w:r>
          </w:p>
          <w:p w:rsidR="00EB7645" w:rsidRPr="00BE00C7" w:rsidP="00BE00C7">
            <w:pPr>
              <w:pStyle w:val="OutcomeDescription"/>
              <w:spacing w:before="120" w:after="120"/>
              <w:rPr>
                <w:rFonts w:cs="Arial"/>
                <w:b w:val="0"/>
                <w:lang w:eastAsia="en-NZ"/>
              </w:rPr>
            </w:pPr>
            <w:r w:rsidRPr="00BE00C7">
              <w:rPr>
                <w:rFonts w:cs="Arial"/>
                <w:b w:val="0"/>
                <w:lang w:eastAsia="en-NZ"/>
              </w:rPr>
              <w:t>Progress with the quality programme/goals has been monitored and reviewed through the monthly senior team meetings.  There is an internal audit calendar in place and the schedule has been adhered to for 2016 and 2017 (year to date).  Feedback on monthly accident and incidents are provided to all meetings.  The service has linked the complaints process with its quality management system, including the benchmarking programme and fed back through the senior team, clinical and staff meetings.  The service has a health and safety management system, and this includes a health and safety rep (HCA) who has completed health and safety training.  Monthly reports are completed and reported to meetings and at the quarterly Health and Safety Committee meeting.  Health and Safety Committee meetings include identification of hazards and accident/incident reporting and trends.  A falls prevention strategy programme is in place that includes the analysis of falls incidents and high-risk fallers, the identification of interventions on a case-by-case basis to minimise future falls.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to provide assurance that it is meeting accepted good practice and adhering to relevant standards, including those standards relating to the Health and Disability Services (Safety) Act 2001.  An organisation policy review group has terms of reference and follows a monthly policy review schedule.  New/updated policies/procedures are generated from head office.  The facility manager is responsible for document control within the service; ensuring staff are kept up to date with the changes.  A resident and relative satisfaction survey is completed annually.  The 2017 relative satisfaction survey confirmed a satisfactory result with the service.  Corrective actions were developed to address any concerns from the survey.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incident and accident data and reports aggregated figures monthly to the senior team, clinical and staff meeting.  Incident forms are completed by staff, the resident is reviewed by the RN at the time of event and the form is forwarded to the clinical nurse manager for final sign off.  A sample of twelve resident related incident reports (eight hospital, two rest home and two dementia level) were reviewed.  All reports and corresponding resident files reviewed evidence that appropriate clinical care is provided following an incident.  The HCAs interviewed could describe the incident reporting process.  Discussions with the clinical nurse manager confirmed their awareness of the requirement to notify relevant authorities in relation to essential notifications and evidence of this occurring was sighted on audit.  One section 31 notification was submitted to the Ministry of Health in May 2017, relating to a police investigation for a missing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management policies in place, which include recruitment.  Staff process requires that relevant checks are completed to validate the individual’s qualification, experience and veracity.  A copy of practising certificates is kept.  Six staff files were reviewed (one clinical nurse manager, one clinical coordinator, one RN, one recreation officer and two HCA’s).  All files contained employment agreements and job descriptions.  Outstanding annual appraisals had been completed and the 2017 performance appraisal schedule was being adhered to.  The service is using the PSC recently introduced orientation programme that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The in-service education programme for 2017 is being implemented.  The majority of HCA’s have completed an aged care education programme.  Staff attend annual compulsory study days which includes training around the Eden Alternative programme.  The clinical coordinators and RN’s are able to attend external training.  Eight hours of education or in-service education has been provided annually.  All individual records and attendance numbers are maintained.  A schedule of which staff have attended education is maintained and follow-up action and sessions are offered to ensure all staff receive the required training.  Five of ten RNs are interRAI trained. There are thirteen HCAs on the roster in the dementia unit and all thirteen have completed the required dementia standards.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There is a roster that provides sufficient and appropriate coverage for the effective delivery of care and support.   The facility manager and clinical nurse manager work full-time, Monday through to Friday.  The facility manager is on call for any non-clinical matters and the clinical nurse manager is on-call for any clinical issues.  Advised by the clinical nurse manager that extra staff can be called on for increased resident requirements.  Interviews with HCA’s, residents and family members identify that staffing is adequate to meet the needs of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hospital area (3 wings, Kowhai, Rimu and Totara), there are 29 residents in total (26 hospital and 3 rest home residents).  There is a clinical coordinator who is supported by an RN on the morning shift and two RNs on the afternoon shift and one RN on the night shift.  There are six HCA’s in the hospital area on the morning shift, five HCA’s on the afternoon shift and two HCAs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In the rest home area (two wings, Pohutakawa and Kauri), there are 28 residents in total (23 rest home and 5 hospital residents).  There is an RN on the morning shift, who is supported by two HCA’s on the morning and two on the afternoon shift and one HCA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dementia care wing (Matai), there are eight residents in total.  There are two HCA’s on the morning shift and two on the afternoon shift and two HCAs on the night shift.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An initial care plan is also developed in this time.  Not all amendments to care plans were signed and dated with the designation recorded and this is an area that continues to require improvement.  Residents' files are protected from unauthorised access by being locked away in the nurses’ stations.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files were reviewed (four hospital, four rest home (including one respite) and two dementia).  There are policies and procedures in place for safe medicine management that meet legislative requirements.  All clinical staff who administer medications have been assessed for competency on an annual basis.  Education around safe medication administration has been provided.  Staff were observed to be safely administering medications.  Registered nurses interviewed were able to describe their role in regard to medicine administration.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and there were no residents self-medicating on the day of audit.   All medication charts sampled met legislative prescribing requirements.  The medication charts reviewed identified that the GP had seen and reviewed the resident three-monthly.  The pharmacy and RN medication checks had been completed.  The previous audit finding to these had been addressed.  The medication fridge temperatures are recorded regularly, and these were within acceptable ranges.  There were no residents currently self-medicating, however the RNs interviewed could describe the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PSC Levin are prepared and cooked on-site.  There is a five-weekly seasonal menu which had been reviewed by a dietitian.  Meals are delivered to the dining areas.  Dietary needs are known with individual likes and dislikes accommodated with one identified exception.  Pureed, gluten free and diabetic desserts are provided.  Cultural and religious food preferences are met.  Finger food (sandwiches, fruit and biscuits) are available in the dementia unit 24 hours a day.  Staff were observed assisting residents with their meals and drinks.  Supplements are provided to residents with identified weight loss issues.  Resident meetings and surveys allow for the opportunity for resident feedback on the meals and food services generally.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were overall satisfied with the food and confirmed alternative food choices were offered for dislikes.  Fridge, freezer and chiller temperatures are taken and recorded daily.  Temperatures are recorded daily of meals before serving.  All food services staff have completed training in food safety and hygiene and chemical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In the sampled appropriate assessment tools were completed including interRAI assessments.  Care plans sampled were developed on the basis of these assessments and linked to the long-term care plan.  Pains assessments were all well documented in medimap and linked to care plan interventions.  This is an improvement on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care plans reviewed (two rest home – including a respite file, two hospital and one dementia).  All care plans included interventions to support current needs and medical issues.  One resident file with weight loss was reviewed and included implemented interventions to manage this.  One resident with behaviours that challenge included documented de-escalation techniques.  Continence management was clearly documented in the interventions for the five resident files reviewed including the respite resident.  Short term care plans were in use for acute changes in health status.  The previous audit finding relating to documentation of interventions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RN initiates a review and if required, GP or nurse specialist consultation.  The family members confirmed on interview they are notified of any changes to their relative’s health.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residents’ files reviewed, short-term care plans were commenced with a change in heath condition and linked to the long-term support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Registered nurses were able to describe access for wound and continence specialist input as required.  </w:t>
            </w:r>
          </w:p>
          <w:p w:rsidR="00EB7645" w:rsidRPr="00BE00C7" w:rsidP="00BE00C7">
            <w:pPr>
              <w:pStyle w:val="OutcomeDescription"/>
              <w:spacing w:before="120" w:after="120"/>
              <w:rPr>
                <w:rFonts w:cs="Arial"/>
                <w:b w:val="0"/>
                <w:lang w:eastAsia="en-NZ"/>
              </w:rPr>
            </w:pPr>
            <w:r w:rsidRPr="00BE00C7">
              <w:rPr>
                <w:rFonts w:cs="Arial"/>
                <w:b w:val="0"/>
                <w:lang w:eastAsia="en-NZ"/>
              </w:rPr>
              <w:t>Wound management policies and procedures are in place.  Adequate dressing supplies were sighted in treatment rooms.  There is evidence of GP, dietitian and specialist involvement in wounds/pressure injuries.</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were 12 wounds.  In the hospital there were two lesions, four moisture wounds, two abrasions and two ulcers.  In the dementia unit there was a skin tear and a lesion.  All wound care documentation was fully completed addressing the previous audit finding.</w:t>
            </w:r>
          </w:p>
          <w:p w:rsidR="00EB7645" w:rsidRPr="00BE00C7" w:rsidP="00BE00C7">
            <w:pPr>
              <w:pStyle w:val="OutcomeDescription"/>
              <w:spacing w:before="120" w:after="120"/>
              <w:rPr>
                <w:rFonts w:cs="Arial"/>
                <w:b w:val="0"/>
                <w:lang w:eastAsia="en-NZ"/>
              </w:rPr>
            </w:pPr>
            <w:r w:rsidRPr="00BE00C7">
              <w:rPr>
                <w:rFonts w:cs="Arial"/>
                <w:b w:val="0"/>
                <w:lang w:eastAsia="en-NZ"/>
              </w:rPr>
              <w:t>There were three facility acquired pressure injuries on the day of audit and one DHB acquired PI.  All were graded stage II.</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were in use and sighted for  behaviour monitoring, food &amp; fluids, weight and turning charts.  This is an improvement on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member of the two-person recreation team had retired the week before audit.  A replacement person was commencing the week following audit. The diversional therapist currently on staff is continuing to provide individual and group activities in the rest home/hospital and dementia care units five days per week (on weekends the care staff are allocated activities to undertake).  The recreation programme is supported by a team of volunteers.  The recreational programme provides individual and group activities that are meaningful and reflect ordinary patterns of life.  There are regular outings/drives and involvement in community events (including church and day-care).  One-on-one activity occurs for residents who are unable or choose not to be involved in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profile is completed on admission in consultation with the resident/family (as appropriate).  All files reviewed had a documented recreational plan and the plans had been reviewed six-monthly at the same time as the care plans were reviewed.  Activity participation was noted in the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feedback and suggestions for the programme through surveys and one-on-one feedback from residents (as appropriate) and families.</w:t>
            </w:r>
          </w:p>
          <w:p w:rsidR="00EB7645" w:rsidRPr="00BE00C7" w:rsidP="00BE00C7">
            <w:pPr>
              <w:pStyle w:val="OutcomeDescription"/>
              <w:spacing w:before="120" w:after="120"/>
              <w:rPr>
                <w:rFonts w:cs="Arial"/>
                <w:b w:val="0"/>
                <w:lang w:eastAsia="en-NZ"/>
              </w:rPr>
            </w:pPr>
            <w:r w:rsidRPr="00BE00C7">
              <w:rPr>
                <w:rFonts w:cs="Arial"/>
                <w:b w:val="0"/>
                <w:lang w:eastAsia="en-NZ"/>
              </w:rPr>
              <w:t>Relatives and residents stated they were satisfied with the activities provided.  Activity plans in the dementia unit did not evidence activities across 24-hour activity plans.  The previous audit finding remains unaddressed.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residents’ files reviewed, all initial care plans were documented and evaluated by the RN within three weeks of admission.  Long-term care plans had been reviewed at least six-monthly or earlier for any health changes.  The GP reviews the residents at least three-monthly or earlier if required.  Evidence of three-monthly GP reviews were seen in all residents’ files sampled.  Ongoing nursing evaluations occur daily/as indicated and are documented within the progress notes.  Evaluations reviewed identified that when a resident’s health status had changed, interventions were updated to reflect this, and this is an improvement on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warrant of fitness expired on 1 September 2017.  There was no current warrant of fitness for the building. Advised that it has been delayed due to three unresolved issues relating to the building that are still to be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document infection prevention and control surveillance methods.  Systems are in place and are appropriate to the size and complexity of the facility.  The surveillance data is collected and analysed monthly to identify areas for improvement or corrective action requirements.  Infection control internal audits have been completed.  Benchmarking occurs with fellow PSC facilities, trends are identified, and quality initiatives are discussed at RN and senior team meetings.  There is a policy describing surveillance methodology for monitoring of infections.  Definitions of infections are in place appropriate to the complexity of service provided.  Since the previous audit, all residents had been treated prophylactically for scabies.  No actual positives in residents were identified (staff only).  Regional public health was notified and a Section 31 lodged.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restraint minimisation and safe practice policy applicable to the service that complies with the Restraint Minimisation and Safe Practice Guideline 2008.  The organisational policy for restraint minimisation and enabler use ensures that enablers are voluntary, the least restrictive option and allows residents to maintain their independence.  There is a restraint and enabler register.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no residents using restraint and no residents using enablers.  Staff interviews, and staff records evidence education has been given on restraint minimisation and safe practice (RMSP), enabler usage and prevention and/or de-escalation techniques.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51"/>
        <w:gridCol w:w="1280"/>
        <w:gridCol w:w="4716"/>
        <w:gridCol w:w="3553"/>
        <w:gridCol w:w="20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1.2.9.9</w:t>
            </w:r>
          </w:p>
          <w:p w:rsidR="00EB7645" w:rsidRPr="00BE00C7" w:rsidP="00BE00C7">
            <w:pPr>
              <w:pStyle w:val="OutcomeDescription"/>
              <w:spacing w:before="120" w:after="120"/>
              <w:rPr>
                <w:rFonts w:cs="Arial"/>
                <w:b w:val="0"/>
                <w:lang w:eastAsia="en-NZ"/>
              </w:rPr>
            </w:pPr>
            <w:r w:rsidRPr="00BE00C7">
              <w:rPr>
                <w:rFonts w:cs="Arial"/>
                <w:b w:val="0"/>
                <w:lang w:eastAsia="en-NZ"/>
              </w:rPr>
              <w:t>All records are legible and the name and designation of the service provider is identifiable.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entering the service have all relevant initial information recorded within 24 hours of entry into the resident’s individual record.  An initial care plan is also developed in this time.  Not all amendments to care plans were signed and dated with the designation recorded and this continues to be an area requiring improvement.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alterations or amendments to the long-term care plans or wound care plans are signed dated or the designation is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any alterations or amendments to the long-term care plan or wound care plans are signed and dated, and the designation is recorded.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evidence that RNs could access clinical advice from incontinence and wound specialists along with the dietitian. The long-term care plans include input from allied health professionals, however this was not always documented as integrated.  The previous audit finding remains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Clinical nurse advice was sought from, and documented, by the clinical nurse specialist for a hospital resident with a PI, but there was no evidence of the advice being incorporated into care.  There was no explanation as to why this was not the case.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Incorporate advice from clinical specialists into care planning, if advice is not appropriate/feasible evidence of discussion be available.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activities assessment and a Tree of Life is undertaken for each resident and the activities programme is varied to accommodate the interests of the residents.  Activity plans in the dementia unit did not evidence activities across 24-hour activity plans.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Eight of eight files of residents in the dementia unit did not include a 24-hour activity plan as per contractual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 24-hour individual activity plan is documented for each resident residing in the dementia care unit.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current building warrant of fitness for the building.  Three unresolved issues relating to the building are still to be addressed.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current building warrant of fitness for the building.  Three unresolved issues relating to the building are still to be addressed.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there is a current building warrant of fitness.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Central - Levin War Veterans</w:t>
    </w:r>
    <w:bookmarkEnd w:id="58"/>
    <w:r>
      <w:rPr>
        <w:rFonts w:cs="Arial"/>
        <w:sz w:val="16"/>
        <w:szCs w:val="20"/>
      </w:rPr>
      <w:tab/>
      <w:t xml:space="preserve">Date of Audit: </w:t>
    </w:r>
    <w:bookmarkStart w:id="59" w:name="AuditStartDate1"/>
    <w:r>
      <w:rPr>
        <w:rFonts w:cs="Arial"/>
        <w:sz w:val="16"/>
        <w:szCs w:val="20"/>
      </w:rPr>
      <w:t>5 December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