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Hampton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Hampton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January 2018</w:t>
      </w:r>
      <w:bookmarkEnd w:id="7"/>
      <w:r w:rsidRPr="009418D4">
        <w:rPr>
          <w:rFonts w:cs="Arial"/>
        </w:rPr>
        <w:tab/>
        <w:t xml:space="preserve">End date: </w:t>
      </w:r>
      <w:bookmarkStart w:id="8" w:name="AuditEndDate"/>
      <w:r w:rsidR="00A4268A">
        <w:rPr>
          <w:rFonts w:cs="Arial"/>
        </w:rPr>
        <w:t>19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Hampton Court is owned and operated by Radius Residential Care Limited.  The service provides rest home and hospital (geriatric and medical) level care for up to 45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On the day of the audit, there were 41 residents.  A registered nurse, with experience in aged care management, manages the service.  A regional manager and clinical nurse manager support her.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One of the two shortfalls identified at their previous certification has been addressed relating to interRAI assessments.  Further improvements continue to be required around medication documentation. </w:t>
      </w:r>
    </w:p>
    <w:p w:rsidRPr="00A4268A">
      <w:pPr>
        <w:spacing w:before="240" w:line="276" w:lineRule="auto"/>
        <w:rPr>
          <w:rFonts w:eastAsia="Calibri"/>
        </w:rPr>
      </w:pPr>
      <w:r w:rsidRPr="00A4268A">
        <w:rPr>
          <w:rFonts w:eastAsia="Calibri"/>
        </w:rPr>
        <w:t>There were three further improvements identified at this audit around neurological observations, annual performance appraisals and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Regular contact is maintained with families including if a resident is involved in an incident or has a change in their current health.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they also have responsibility for maintaining and reviewing care plans.  Care plans reviewed were individually developed with the resident, and family/whānau involvement is included where appropriate and evaluated six-monthly or more frequently when clinically indicated.  The medication management system in place follows appropriate storage practices and each resident is reviewed at least three-monthly by their general practitioner.  A range of individual and group activities is available.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displays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are currently no residents with enablers or restraint.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is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0"/>
        <w:gridCol w:w="1280"/>
        <w:gridCol w:w="103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  A complaints’ register includes written and verbal complaints, dates and actions taken.  Three complaints have been made since the last audit.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(two rest home and two hospital) interviewed stated they were welcomed on entry and were given time and explanation about the services and procedures.  Ten incident reports reviewed evidenced recording of family notification.  Four relatives (one rest home and three hospital) interviewed, confirmed they are notified of any changes in their family member’s health status.  Three monthly resident meetings provide a forum for residents to discuss issues or concerns.  Families are encouraged to visit.  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Hampton Court is a Radius aged care facility located in Napier.  The facility is certified to provide care for up to 45 residents requiring hospital and rest home level care.  There are 15 rest home beds and 30 dual-purpose beds.  On the day of the audit, there were 41 residents in total, 20 residents receiving rest home level care and 21 receiving hospital level care including one resident on respite.  All other residents were on the age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strategic plan describes the vision, values and objectives of Radius aged care facilities.  The service organisation philosophy and strategic plan reflect a person/family centred approach.  An annual 2017/2018 business plan for Hampton Court describes specific and measurable goals that are reviewed each month.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with many years’ experience in aged care.  She has been in the role since July 2017 and has worked at Radius for three and a half years.  She supported by a regional manager and clinical nurse manager.  The regional manager was present on the day of the audit as she was training another regional manager through her induction.  The clinical nurse manager has been in the position since August 2017 and has many years’ experience in the aged care industry.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Hampton Court.  Quality and risk performance is reported across facility meetings and to the regional manager.  The facility manager advised that she is responsible for providing oversight of the quality programme.  There is a monthly quality/health and safety, and bi-monthly staff meeting where all quality data and indicators are discussed.  Minutes of these meetings are made available to all staff.  Resident meetings are three monthly.  Annual resident/relative satisfaction surveys are completed with results communicated to residents and staff.  The overall service result for the resident/relative satisfaction survey completed in July 2017 was at 100%.</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representative (maintenance person) interviewed confirmed their understanding of health and safety processes.  He has completed the specific health and safety training requirements.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monthly staff and quality/health and safety meetings including actions to minimise recurrence.  Ten accident/incident forms were reviewed.  Each event involving a resident, reflected a clinical assessment and follow-up by a RN.  However not all neurological observations were completed for resident falls that resulted in a potential head injury.  Data collected on incident/accident forms are linked to the quality management system.  The management team are aware of their requirement to notify relevant authorities in relation to essential notifications.  There have been no requirements to complete any section 31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(one RN, two healthcare assistants (HCA), one maintenance person and one activities coordinator) reviewed, included a recruitment process, which comprised reference checking, signed employment contracts and job descriptions, police checks, and completed orientation programmes.  However, there was no documented evidence of an up-to-date annual performance appraisal completed in five of five staff files reviewed.  A register of registered nursing staff and other health practitioner practising certificates is maintained.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plan in place that exceeds eight hours annually.  There is an attendance register for each training session and an individual staff member record of training.  Registered nurses are supported to maintain their professional competency.  There has been recent turnover of RN positions which has resulted in currently only one of the eight RNs at Hampton Court being interRAI trained.  The facility manager and clinical nurse manager are also interRAI trained.  All interRAI assessments reviewed were regular and timely, although interRAI outcomes were not always reflected into care plans (link 1.3.6.1).  This previous finding around timeframes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facility manager and clinical nurse manager both work full time from Monday to Friday and share the on-call 24/7 duties.  There is a minimum of one RN and two HCAs on-site at any time.  There is one RN on duty in the morning shift and afternoon shift, and on the night shift.  The RNs are supported by six HCAs (three long and three short-shifts) on the morning shift, five HCAs (two long and three short-shift) on the afternoon shift and two HCAs on the night shift.  Staff working on the day of the audit were visible and were attending to call bells in a timely manner.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four-weekly packaged system for tablets, and other medicines are pharmacy packaged.  All medicines are stored securely when not in use.  A verification check is completed by the RN against the resident’s medicine order when new medicines are supplied from the pharmacy.  The medication room was clean and organised and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RN and senior HCAs with medication administration responsibilities.  Ten medication charts reviewed identified that the GP had seen the resident three-monthly.  The paper-based medication orders do not always include indications for use of ‘as needed’ medicines, not all administration charts had been signed on administration and GPs had not always signed for medication.  An RN was observed administering medications and followed correct procedures.  No residents self-administer medicines; a process is documented should residents wish to self-administer.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on-site.  A food services manual is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guided by the resident’s plan of care, handovers and care charts.  The software assessment process informs the development of the care plan and interRAI outcomes are added.  InterRAI outcomes were not always reflected into care plans.  Care plans sampled were goal orientated and reviewed at six monthly intervals (for long-term residents).  The staff interviewed stated that they have sufficient equipment and supplies to provide care.  The respite resident had an up-to-date care plan in place and one resident with oxygen had this documented, which included care needs associated with oxygen use.</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with wounds were reviewed for this audit.  There were no residents with a pressure injury.  Assessments, management plans and documented reviews were in place for all wounds.  Specialist nursing advice is available from the DHB as needed.  A physiotherapist is available two days during the week to assist with mobility assessments and the exercise programme.  Monitoring records sighted (weights, food and fluids and turning charts) were consistently completed occurring to set timeframes, however pain assessments were not always documented, and neurological observations were not always documented according to policy (link 1.2.4.3).  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activities person who provides an activity programme Monday to Friday.  The activities person is responsible for the planning and delivery of the individual and group activities programme with assistance from staff.  Activities assessments and plans are integrated into the care planning software.  All resident files sampled have a recent activity plan within the care plan and this is evaluated at least six monthly when the care plan is evaluated.  Residents are free to choose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developed with input, including feedback from residents.  Regular outings occur in the new van purchased by the service.  There is engagement with the local community, such as inter-home bowls matches.  Activity plans include art deco week, long lunches, exercises and entertainment.  Individual activities are provided in residents’ rooms or wherever applicable.  On the day of the audit, residents were observed being actively involved with a variety of activities.  The group activities programme is developed monthly,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and computer-based assessments.  Long-term care plans are then evaluated and updated.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RNs interviewed explained the communication process with the GP.  Short-term care plans were evident for the care and treatment of residents and had been evaluated and closed or transferred to the long-term care plan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 expiring 1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quality/health and safety meetings and staff meetings.  If there is an emergent issue, it is acted upon in a timely manner.  Reports are easily accessible to the facility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Restraint minimisation policies and procedures are in place and include definitions, processes, and use of restraints and enablers.  There are no residents with restraint or enablers at Hampton Court.  The service is committed to restraint minimisation and safe practice, as evidenced in the restraint policy and interviews with the facility manager, clinical nurse manger and HCAs.  Staff are trained in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7"/>
        <w:gridCol w:w="1280"/>
        <w:gridCol w:w="4423"/>
        <w:gridCol w:w="3536"/>
        <w:gridCol w:w="26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Ten accident/incident forms were reviewed.  Each event involving a resident reflected a clinical assessment and follow-up by a RN.  However,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accident/incident forms were reviewed in total.  Seven accident/incident forms reviewed were for unwitnessed falls where the resident could have potentially hit their head.  In six out of the seven accident/incident forms reviewed, the neurological observations were either not completed or were not completed to the required timeframes (as per the Radius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undertaken for any resident fall with a potential head injury and are fully completed as per the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(one RN, two HCAs, one maintenance person and one activities coordinator) were reviewed.  There was no documented evidence of an up-to-date annual performance appraisal completed in five of five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an up-to-date annual performance appraisal completed in five of five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performance appraisals are completed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paper based medication chart and associated signing forms.  Warfarin was correctly prescribed and administered according to INR results.  Ten medication charts were reviewed.  They all document at least a three-monthly GP review and were clear and easy to read.  Not all documentation and signing were in place.  This is a continued finding form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(i)Indications for use for ‘as needed’ medications were not documented on four of ten medication charts reviewed.  (ii) There were signing gaps for staff administration for four of ten medication charts.  (iii) The GP had not signed for one medication on one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‘as needed’ medication documents indications for use.  (ii) Ensure that staff sign for medications on administration.  (iii) Ensure that all medication prescriptions are signed by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new software-based care plan and progress notes process.  The service is aware that this process may cause documentation issues during this transition phase and has implemented a plan to ensure that resident care is provided.  This includes in-depth handovers, work logs for each resident (tasks needed) and summary of care sheets.  RNs and senior staff advise they are being extra vigilant to ensure care needs are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hospital and two rest home level residents did not have all interRAI outcomes reflected in to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(ii)  Pain assessments were not documented for a hospital resident who required strong analgesia.</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who had bruises recorded did not have this documented as followed-up by an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interRAI assessment process is reflected into the care plans.  (ii) Ensure that pain assessment is documented as completed for residents with identified pain. (iii) Ensure that issues noted by HCAs are followed up, assessed and documented by the RNs.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Hampton Court</w:t>
    </w:r>
    <w:bookmarkEnd w:id="58"/>
    <w:r>
      <w:rPr>
        <w:rFonts w:cs="Arial"/>
        <w:sz w:val="16"/>
        <w:szCs w:val="20"/>
      </w:rPr>
      <w:tab/>
      <w:t xml:space="preserve">Date of Audit: </w:t>
    </w:r>
    <w:bookmarkStart w:id="59" w:name="AuditStartDate1"/>
    <w:r>
      <w:rPr>
        <w:rFonts w:cs="Arial"/>
        <w:sz w:val="16"/>
        <w:szCs w:val="20"/>
      </w:rPr>
      <w:t>19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