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Maygrove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Maygrove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2018</w:t>
      </w:r>
      <w:bookmarkEnd w:id="7"/>
      <w:r w:rsidRPr="009418D4">
        <w:rPr>
          <w:rFonts w:cs="Arial"/>
        </w:rPr>
        <w:tab/>
        <w:t xml:space="preserve">End date: </w:t>
      </w:r>
      <w:bookmarkStart w:id="8" w:name="AuditEndDate"/>
      <w:r w:rsidR="00A4268A">
        <w:rPr>
          <w:rFonts w:cs="Arial"/>
        </w:rPr>
        <w:t>1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Maygrove Lifecare provides rest home level care for up to 44 residents. The service is operated by Heritage Lifecare Limited and managed by a facility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a general practitioner.</w:t>
      </w:r>
    </w:p>
    <w:p w:rsidRPr="00A4268A">
      <w:pPr>
        <w:spacing w:before="240" w:line="276" w:lineRule="auto"/>
        <w:rPr>
          <w:rFonts w:eastAsia="Calibri"/>
        </w:rPr>
      </w:pPr>
      <w:r w:rsidRPr="00A4268A">
        <w:rPr>
          <w:rFonts w:eastAsia="Calibri"/>
        </w:rPr>
        <w:t>No areas have been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 xml:space="preserve">No residents identified as Maori at the time of audit. Cultural values and beliefs are respected. Care is guided by a Maori Health Plan and related policies. </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if required.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needed.</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are provided to residents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is not accessible to unauthorised people. Up to date, legible, integrated and relevant residents` records are maintained. Archived residents’ records can be retrieved if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potential residents/family to facilitate the admission.</w:t>
      </w:r>
    </w:p>
    <w:p w:rsidRPr="00A4268A" w:rsidP="00621629">
      <w:pPr>
        <w:spacing w:before="240" w:line="276" w:lineRule="auto"/>
        <w:rPr>
          <w:rFonts w:eastAsia="Calibri"/>
        </w:rPr>
      </w:pPr>
      <w:r w:rsidRPr="00A4268A">
        <w:rPr>
          <w:rFonts w:eastAsia="Calibri"/>
        </w:rPr>
        <w:t>Residents` needs are assessed by the registered nurse on admission within the required timeframes. The service is managed by the facility manager Monday to Friday who is supported by an experienced registered nurse. Care staff cover twenty-four hours a day, seven days a week. On call arrangements for support from senior staff are in place. Shift handovers and communication sheets guide continuity of care.</w:t>
      </w:r>
    </w:p>
    <w:p w:rsidRPr="00A4268A" w:rsidP="00621629">
      <w:pPr>
        <w:spacing w:before="240" w:line="276" w:lineRule="auto"/>
        <w:rPr>
          <w:rFonts w:eastAsia="Calibri"/>
        </w:rPr>
      </w:pPr>
      <w:r w:rsidRPr="00A4268A">
        <w:rPr>
          <w:rFonts w:eastAsia="Calibri"/>
        </w:rPr>
        <w:t>Lifestyle care plans are individualised, based on an integrated range of clinical information. Short term care plans are developed to manage any new problems that may arise. All residents’ records reviewed demonstrated that identified needs, goals and outcomes are reviewed on a regular basis. Residents and families interviewed reported being kept well informed and involved in care planning and evaluation, and that care is of a high standard. Residents are referred or transferred to other health services as required, with appropriate information provided.</w:t>
      </w:r>
    </w:p>
    <w:p w:rsidRPr="00A4268A" w:rsidP="00621629">
      <w:pPr>
        <w:spacing w:before="240" w:line="276" w:lineRule="auto"/>
        <w:rPr>
          <w:rFonts w:eastAsia="Calibri"/>
        </w:rPr>
      </w:pPr>
      <w:r w:rsidRPr="00A4268A">
        <w:rPr>
          <w:rFonts w:eastAsia="Calibri"/>
        </w:rPr>
        <w:t xml:space="preserve">The activity programme is provided by an activities coordinator. A variety of individual and group activities are planned and links with the community are promoted for residents.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the registered nurse or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A food safety plan and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Eight enablers were in use at the time of audit.  There were no restraints in use. A comprehensive assessment, approval and monitoring process with regular reviews is described within policy.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The infection control nurse reports any infections to the facility manager monthly. Specialist infection prevention and control advice is accessed from the district health board, microbiologist and the general practitioner as required.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and benchmarked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5"/>
        <w:gridCol w:w="1280"/>
        <w:gridCol w:w="8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(HLL) has provided Maygrove Lifecare with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 staff interviewed understand the principles and practice of informed consent. Informed consent policies provide relevant guidance to staff. Residents’ records showed that informed consent has been gained appropriately using the organisation`s standard informed consent form including consent to be photographed for medical records and recreational activities, indemnity/outings, infection screening if required, release of or the exchange of medical information between the GP, other health professionals and Maygrove Lifecare, permission to undergo various medical tests from time to time as documented.</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directives/advance care planning, establishing and documenting enduring power of attorney (EPOA) requirements and processes for residents unable to consent is defined and documented where relevant in the resident`s record. Staff demonstrated their understanding by being able to explain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Pamphlets related to the Advocacy Service were also in the resident information pack reviewed. Family members and residents spoken to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to maintain their independence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taken, through to an agreed resolution, are documented and completed within the timeframes.  Action plans show any required follow up and improvements have been made where possible.  The facility manager is responsible for complaints management and follow up. High risk complaints are managed by the National Quality Manager.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through the admission process information provided, discussion with staff and by talking to other residents. The Code is displayed in several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need to maintain privacy and were observed doing so throughout the audit (eg, when attending personal cares, ensuring resident information is held securely and privately and exchanging verbal information). Resident independence is promoted as much as possible by encouraging community activities. Each lifestyle care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lifestyle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on abuse and neglect and staff interviewed are fully informed on how to report any suspected abuse and neglect. Education on abuse and neglect is part of the orientation programme for staff and then is provided on an annual basis, as confirmed in staff and training records. The general practitioner interviewed was also aware of obligations should the need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reported there were no residents in the service who identify as Maori. The principles of the Treaty of Waitangi are incorporated into day to day practice, as is the importance of whanau to Maori residents. There is an organisation Maori health plan developed with input from cultural advisors. Current access to resources includes, the contact details of local cultural advisers and the Waitemata DHB advisory service. Guidance on tikanga best practice is available and is supported by staff who identify as Maori in the facility. One senior caregiver identifies as Maori. Cultural needs of any residents are identified and documented in the lifestyle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all included in all lifestyle care plans reviewed. A resident satisfaction questionnaire includes evaluation of how well residents` cultural needs are met and this supported that individual needs are being met. Nationalities represented in the resident group are African and Dutch residents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A general practitioner interviewed also expressed satisfaction with the standard of service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induction/orientation process for staff includes education related to professional boundaries and expected behaviours. The one registered nurse employed currently in the service had a record of completion of the required training on professional boundaries. Staff are provided with a Code of Conduct in both the staff orientation package and their individual employment contact reviewed.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referencing evidence based policies, input form external specialist services and allied health professionals, for example the gerontology nurse specialist (interviewed), wound care specialist, a dietitian, health services for older persons, and education of staff. The general practitioner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the registered nurse can access her own professional networks, such as infection control on line,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nationwide 24 hour interpreter services and through the Waitemata District Health Board (WDHB) when required. Currently all residents are able to speak English. The service has a monthly newsletter which is provided to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weekly and monthly operations reports to the operations manager showed adequate information to monitor performance is reported including occupancy, general comments on movements, health and safety and compliance issues, interRAI compliance,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working in the sector for over 20 years and in this role for nine months. Responsibilities and accountabilities are defined in a job description and individual employment agreement.  The facility manager confirmed knowledge of the sector, regulatory and reporting requirements and maintains currency through interaction with other health provider agencies and the organisation’s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and respite care; 38 residents were receiving services under the rest home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RN carries out all the required duties under delegated authority. During absences of key clinical staff, the clinical management is overseen by another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pressure injuries, skin tears, falls, unintended weight loss and behavioural issues.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meeting, health and safety meetings and discipline specific meetings. Staff reported their involvement in quality and risk management activities through audit activities, and meeting attendance. Relevant corrective actions are developed and implemented to address any shortfalls. Resident and family satisfaction surveys are completed annually. The most recent survey in April 2017 showed residents are mostly satisfied with the facility and where opportunities for improvement were identified these have been addressed and reported through the residents’ meetings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organisation’s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requirements with the Health and Safety at Work Act (2015) are understood by the organisation and the facility manager is responsible for implementing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National Quality Manager who reports to the executive team and the Board.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three notifications of significant events made to the Ministry of Health since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within the organisation, who are maintaining their annual competency requirements to undertake interRAI assessments. The facility is being supported by the organisation in this regard during the employment transition between RNs.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records sampled for review. Clinical medical and nursing progress notes were current.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families are encouraged to visit the facility prior to admission and meet with the administrator, registered nurse or the facility manager. They are also provided with written information about the service and the admission process. The service operates a waiting list for entry. The organisation seeks updates information form NASC and/or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escort/family used as appropriate. The service uses the DHB `yellow envelope` system to facilitate transfer for residents to and from acute care services. There is open communication between all services, the resident and the family. At the time of transition between services, appropriate information, including the medication records, copy of the EPOA, advance directives or resuscitation status forms is provided for the ongoing management of the resident. All referrals are documented on the progress records. The resident and family are kept updated throughout the 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and legislative requirements. All medication checks are completed appropriately and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Processes are available for ordering medication that is not pre-packaged. These medications are checked by the registered nurse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storage were within normal range.</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 monthly GP review was consistently recorded electronically on the medication record. The prescriber and registration number were recorded. All requirements for pro re nata (PRN) medicines were met. There were no residents self-administering medications at the time of the audit. Appropriate processes are in place to ensure this is managed in a safe manner,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registered nurse and recorded on an accident/incident form. The resident and/or the designated representative are advised. There is a process for analysis of any medication errors, and compliance with this was verified. There are no standing orders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hands and is in line with recognised nutritional guidelines for older people. The menu follows summer and winter patterns and has been reviewed by a qualified dietitian within the last two years. Any recommendations made at that time have been implemented. The food safety plan authorisation was displayed in the kitchen as well as the qualification and courses completed by the cook and kitchen personal.</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(displayed in the kitchen). Food temperatures, including high risk items, are monitored appropriately and recorded as part of the plan. The food services manager has undertaken a safe food handling qualification, with kitchen assistants completing relevant food handling training. Certificates were framed and on display also in the kitchen.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meals. There is sufficient staff on duty in the dining room to ensure appropriate assistance is available to residents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whanau/family. Examples of this were discussed with the registered nurse and facility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other tools, as a means to identify any deficits and to inform care planning. The sample of lifestyle plans reviewed had an integrated range of resident related information. All residents have current interRAI assessments completed. The registered nurse responsible for completing the interRAI assessments has recently resigned and another registered nurse employed is awaiting confirmation of some legislative documents to be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care plans reviewed reflected the support needs of residents and the outcomes of the assessment process and other relevant clinical information. Lifestyle care plans evidenced service integration with progress notes, activities records, medical and allied health professional`s notations clearly written, informative and relevant. Any change in care required is documented and verbally passed on to relevant staff. Residents and families reported participation in the development and ongoing evaluation of the lifestyle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identified needs, goals and the plan of care. The attention to meeting a range of resident`s individualised needs was evident. The GP interviewed, verified that medical input is sought in a timely manner, that medical orders are followed, and care is provided to a high standard. Care staff confirmed that care was provided as outlined in the documentation reviewed. A range of equipment and resources was available, suited to the rest home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has been in the role since April 2017. A social assessment and history is undertaken on admission to ascertain residents` needs, interests, abilities and social requirements. Activities assessments are regularly reviewed six monthly or earlier to help formulate an activities programme that is meaningful to the residents. The resident`s activity needs are evaluated six monthly as part of the formal six monthly lifestyle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programme sighted matches the skills, likes, dislikes and interests identified in assessment data. Activities reflect residents` goals, ordinary patterns of life and include normal community activities. Individual, group activities and regular events are offered. Examples include bingo, target bowls, exercise to music, kiwi Quiz, van outings, visiting and participating with other aged care facilities with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with the programme and that information is used to improve the range of activities offered. Residents interviewed confirmed they find the programme stimulating. A monthly newsletter is collated of all activities/events and photographs, along with an editor`s note. All residents and family members receive a copy.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Formal lifestyle care plan evaluations, occur every six months in conjunction with the six monthly interRAI reassessments or as a resident`s needs change. Evaluations are documented by the RN. Where progress is different from expected, the service responds by initiating changes to the plan of care. Examples of short term care plans were consistently reviewed for any changes and progress evaluated as clinically indicated on a daily basis and according to the degree of risk noted during the assessment process. Other plans, such as wound management plans were evaluated each time the dressing was changed.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resident contracted doctor/medical practice, residents may choose to use another medical practitioner. If the need for other non-urgent services are indicated or requested, the GP sends a referral to seek specialist advice/input. Copies of referrals were sighted in resident`s records, including to eye specialists, skin specialist and outpatient services at WDHB.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10 June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an ensuite for every room and shared shower facilities.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their own rooms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staff and by family members, if requested.  Care staff and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inside in a lockable cupboard and outside in a lockable shed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monthly external contractor checking and residents’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The facility has sprinklers throughout and fire doors which close automatically if the fire alarm is activated. The orientation programme includes fire and security training. The training programme includes annual training on security and health and safety and, six monthly fire safety and emergency management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38 residents. A non-potable water storage tank is located in the garden and other water is stored around the complex including emergency drinking water for each resident,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and alarmed at a predetermined time and staff know to contact emergency services at night if they have security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those on the ground floor have doors that open onto outside garden or small patio areas. Heating is provided by wall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manual, developed at organisational level, with input from infection prevention and control advisors. The organisation is also a member of an infection prevention and control advisory service that provides reference material on infection control and updates resources annually.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interviewed is the designated infection control nurse (ICN) whose role and responsibilities are defined in a job description. The ICN is supported by a caregiver interested in infection prevention and control. The caregiver has responsibilities for checking the first aid kits used in the van and the kitchen and for checking the pandemic box regularly. Infection control is reported at the staff/quality meeting held monthly.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appropriate skills, knowledge and qualifications for the role, and has been in this role for over ten years and has attended relevant study days, as verified in training records sighted. Expert advice is available from the microbiologist from the community laboratory and/or the GP or WDHB infection prevention and control team as needed. The ICN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2017 and included appropriate referencing. Care delivery, cleaning, laundry and kitchen staff were observed following organisational policies such as appropriate use of hand-sanitisers, good handwashing technique and use of disposable personal protective resources, such as hats, aprons and gloves as appropriate for this rest home care setting. Handwashing and sanitiser dispensers are readily accessible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and the education plan reviewed. Interviews, observation and documentation verified staff have received education in infection prevention and control at orientation and ongoing education sessions. Education is provided by the infection control nurse. Content of the training is documented and evaluated to ensure it is relevant, current and understood. A record of attendance is maintained. There have been no infection outbreaks since the last audit. Education for residents is usually on a one to one basis. No residents were in isolation or being barrier nursed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tissues, fungal, eye, gastro-intestinal, the upper and lower respiratory tract and skin infections. When an infection is identified, a record is documented on the clinical record provided. The ICN reviews all reported infections and these are reported monthly to the facility manager and onto the organisation`s support office. Monthly surveillance data is collated and analysed to identify any trends, possible causative factors and required actions. Results of the surveillance programme are shared with staff via staff meetings and at staff handovers. The surveillance programme audited was appropriate to the size and complexity of this rest home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although restraints are not used.  The restraint coordinator provides support and oversight for enabler management and promoting the no restraint use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eight residents were using a small device described as enablers, which were not restrictive and were used voluntarily at their request. A similar process is followed for the use of enablers as would be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not used.  This was evident on review of the meeting minutes, files reviewed, and from interviews with staff and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Maygrove Lifecare</w:t>
    </w:r>
    <w:bookmarkEnd w:id="58"/>
    <w:r>
      <w:rPr>
        <w:rFonts w:cs="Arial"/>
        <w:sz w:val="16"/>
        <w:szCs w:val="20"/>
      </w:rPr>
      <w:tab/>
      <w:t xml:space="preserve">Date of Audit: </w:t>
    </w:r>
    <w:bookmarkStart w:id="59" w:name="AuditStartDate1"/>
    <w:r>
      <w:rPr>
        <w:rFonts w:cs="Arial"/>
        <w:sz w:val="16"/>
        <w:szCs w:val="20"/>
      </w:rPr>
      <w:t>31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