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Hodgson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Hodgson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January 2018</w:t>
      </w:r>
      <w:bookmarkEnd w:id="7"/>
      <w:r w:rsidRPr="009418D4">
        <w:rPr>
          <w:rFonts w:cs="Arial"/>
        </w:rPr>
        <w:tab/>
        <w:t xml:space="preserve">End date: </w:t>
      </w:r>
      <w:bookmarkStart w:id="8" w:name="AuditEndDate"/>
      <w:r w:rsidR="00A4268A">
        <w:rPr>
          <w:rFonts w:cs="Arial"/>
        </w:rPr>
        <w:t>26 January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Hodgson House Lifecare provides rest home care, hospital medical services and hospital geriatric care for up to 66 residents. The service is operated by Heritage Lifecare Limited and managed by an acting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The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management, staff and a general practitioner.</w:t>
      </w:r>
    </w:p>
    <w:p w:rsidRPr="00A4268A">
      <w:pPr>
        <w:spacing w:before="240" w:line="276" w:lineRule="auto"/>
        <w:rPr>
          <w:rFonts w:eastAsia="Calibri"/>
        </w:rPr>
      </w:pPr>
      <w:r w:rsidRPr="00A4268A">
        <w:rPr>
          <w:rFonts w:eastAsia="Calibri"/>
        </w:rPr>
        <w:t>The audit has resulted in no areas identified as requiring improvement. There was one area of continuous improvement in relation to restraint minimisation and safe practice.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acting facility manager is responsible for the management of complaints. A complaints register is maintained and demonstrated that complaints have been resolved promptly and effectively. One complaints is currently with the Health and Disability Commissioner awaiting the outcome.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Heritage Lifecare Limited is the governing body and is responsible for the services provided at this facility. Business and quality and risk management plans are documented and include the scope, direction, goals and values and mission statement of the organisation. Systems are in place for monitoring the services provided, including regular weekly and monthly reporting by the facility manager to the organisation`s support office.</w:t>
      </w:r>
    </w:p>
    <w:p w:rsidRPr="00A4268A">
      <w:pPr>
        <w:spacing w:before="240" w:line="276" w:lineRule="auto"/>
        <w:rPr>
          <w:rFonts w:eastAsia="Calibri"/>
        </w:rPr>
      </w:pPr>
      <w:r w:rsidRPr="00A4268A">
        <w:rPr>
          <w:rFonts w:eastAsia="Calibri"/>
        </w:rPr>
        <w:t>The facility is managed by an experienced and suitably qualified manager who is a registered health professional. A quality and risk management system is in place which includes an internal auditing programme, monitoring of complaints and incidents, health and safety, infection prevention and control, restraint minimisation and safe practice and resident, staff and family/whanau satisfaction. Collection, collation and analysis of quality improvements data is occurring and is reported at the quality and staff meetings, with discussion of trends and any follow-up where necessary. Meeting minutes, graphs of clinical indicators and benchmarking results are displayed. Adverse events are documented and are seen as an opportunity for improvement. Corrective action plans are being developed and implemented, monitored and signed off electronically. Formal and informal feedback from residents and families is used to improve services. Actual and potential risks are identified and mitigated and the hazard register is up-to-date.</w:t>
      </w:r>
    </w:p>
    <w:p w:rsidRPr="00A4268A">
      <w:pPr>
        <w:spacing w:before="240" w:line="276" w:lineRule="auto"/>
        <w:rPr>
          <w:rFonts w:eastAsia="Calibri"/>
        </w:rPr>
      </w:pPr>
      <w:r w:rsidRPr="00A4268A">
        <w:rPr>
          <w:rFonts w:eastAsia="Calibri"/>
        </w:rPr>
        <w:t>A suite of policies and procedures cover all necessary areas, were current and have been implemented since the last audit.</w:t>
      </w:r>
    </w:p>
    <w:p w:rsidRPr="00A4268A">
      <w:pPr>
        <w:spacing w:before="240" w:line="276" w:lineRule="auto"/>
        <w:rPr>
          <w:rFonts w:eastAsia="Calibri"/>
        </w:rPr>
      </w:pPr>
      <w:r w:rsidRPr="00A4268A">
        <w:rPr>
          <w:rFonts w:eastAsia="Calibri"/>
        </w:rPr>
        <w:t xml:space="preserve">The human resources management policy guides the system for recruitment and appointment of staff. Orientation and ongoing education is provided to all employed staff and a record is maintained in the staff member`s individual record. Staffing levels and skill mix meet contractual requirements and the interRAI assessments influences staffing decisions based on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both an electronic register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provides residents with a variety of individual and group activities and maintains their links with the community.  A van is hired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been purpose built. There are single rooms including some with ensuite bathrooms, all of adequate size to provide personal care.</w:t>
      </w:r>
    </w:p>
    <w:p w:rsidRPr="00A4268A">
      <w:pPr>
        <w:spacing w:before="240" w:line="276" w:lineRule="auto"/>
        <w:rPr>
          <w:rFonts w:eastAsia="Calibri"/>
        </w:rPr>
      </w:pPr>
      <w:r w:rsidRPr="00A4268A">
        <w:rPr>
          <w:rFonts w:eastAsia="Calibri"/>
        </w:rPr>
        <w:t>All building and plant complies with legislation and a current building warrant of fitness was displayed. A preventative and reactive maintenance programme is implemented.</w:t>
      </w:r>
    </w:p>
    <w:p w:rsidRPr="00A4268A">
      <w:pPr>
        <w:spacing w:before="240" w:line="276" w:lineRule="auto"/>
        <w:rPr>
          <w:rFonts w:eastAsia="Calibri"/>
        </w:rPr>
      </w:pPr>
      <w:r w:rsidRPr="00A4268A">
        <w:rPr>
          <w:rFonts w:eastAsia="Calibri"/>
        </w:rPr>
        <w:t>Communal areas are spacious and maintained at a comfortable temperature. Shaded external areas with seating are available.</w:t>
      </w:r>
    </w:p>
    <w:p w:rsidRPr="00A4268A">
      <w:pPr>
        <w:spacing w:before="240" w:line="276" w:lineRule="auto"/>
        <w:rPr>
          <w:rFonts w:eastAsia="Calibri"/>
        </w:rPr>
      </w:pPr>
      <w:r w:rsidRPr="00A4268A">
        <w:rPr>
          <w:rFonts w:eastAsia="Calibri"/>
        </w:rPr>
        <w:t>Implemented policies guide the management of waste and hazardous substances. Protective equipment and clothing is provided and used by staff. Chemicals, soiled linen and equipment are safely stored. All laundry is undertaken on site, with systems monitored to evaluate effectiveness.</w:t>
      </w:r>
    </w:p>
    <w:p w:rsidRPr="00A4268A">
      <w:pPr>
        <w:spacing w:before="240" w:line="276" w:lineRule="auto"/>
        <w:rPr>
          <w:rFonts w:eastAsia="Calibri"/>
        </w:rPr>
      </w:pPr>
      <w:r w:rsidRPr="00A4268A">
        <w:rPr>
          <w:rFonts w:eastAsia="Calibri"/>
        </w:rPr>
        <w:t>Emergency procedures are documented and displayed. Regular fire drills are completed and there is a sprinkler system and call points installed in case of fire. Access to an emergency power source is available. Residents report a timely staff response to call bells. A contracted security company monitors the facility each night.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since the last audit that support the minimisation of restraint. Two enablers and five restraints were in use at the time of the audit. Restraint is only used as a last resort when all other options have been explored. A comprehensive assessment, approval and monitoring process with regular reviews occurs. Enabler use is voluntary for the safety of residents in response to individual requests. Staff receive training at orientation and annually, including all aspects of restraint and enabler use, alternatives to restraint and dealing with difficult behaviours.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an external advisor at the Bay of Plenty District Health Board, and the organisation’s quality/risk advisor.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2"/>
        <w:gridCol w:w="1280"/>
        <w:gridCol w:w="96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Hodgson House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ongoing training is provided by the local health and disability advocacy service,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was documented where relevant in the residents’ files.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 The Advocacy Service provides training for staff and residents at regular intervals. Staff were also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concerns/complaint/compliment policy and associated forms meet the requirements of Right 10 of the Code. The information is provided to residents/family on admission and there was complaints information and forms available in a number of areas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ten complaints have been received since the last audit. Seven complaints are effectively closed out, two remain open and one complaint (received 08 September 2017) was escalated to the Health and Disability Commissioner (HDC). A letter reviewed from the HDC office, verified that this was actioned 18 September 2017 and the complaint has been sent for an independent review. Heritage Lifecare Limited (HLL) as a result of an internal investigation have developed a corrective action plan to ensure adequate follow-up and improvements have been made as possible. Heritage Lifecare Limited is currently awaiting a further response from the HDC office, as correspondence is managed by the organisation`s support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 being made aware of the Code and the Nationwide Health and Disability Advocacy Service (Advocacy Service) as part of the admission information provided, discussion with staff and presentations by the Health and Disability Advocacy Service. The Code is displayed in common areas together with information on advocacy services, how to make a complaint and feedback forms. Satisfaction surveys verify a high level of satisfaction regarding residents being informed of their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ongoing basis by the Health and Disability Advocacy Service, as confirmed by staff and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residents in Hodgson House at the time of audit who identify as Māori. Interviews verified staff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Staff are provided with a Code of Conduct as part of their individual employment contract. It is completed at commencement of employment.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hospice/palliative care team, physiotherapist, wound care specialist, community dieticians, speech language therapists and services for older people. The facility employs a trainer/assessor to assist and monitor staff completion of training programmes. Training for registered nurses (RNs) and care staff is offered by the BOPDHB and the local hospice. A number of RNs and care staff have completed the palliative care modules. The facility’s attending GP is actively involved in the management of palliative care residents, and forwards staff “links” to information updates as appropriate. The GP and the clinical nurse specialist (CNS), who is also a trainee nurse practitioner,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support to access external education opportunities.</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staff commitment to maintaining the services highly regarded reputation in the community, the provision of quality palliative care services and a focus on ensuring ongoing minimal infection rates.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was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verified things are improving after some unsettled times, due to newly implemented changes.</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a local interpreting service, when required. Staff knew how to do so and brochures on the service were easily accessible.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the annual and longer term objectives and site specific objectives and the associated operational plans. The facility manager provides a weekly and monthly reports against the objectives to the organisation`s support office. A sample of reports reviewed showed adequate information to monitor performance is reported including emerging risks, complaints and/or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currently managed by an interim facility manager who is an experienced and suitably qualified manager and who is a registered health professional. (the position is currently being advertised). The facility manager has been in the position since mid-December 2017. An interim facility manager has been appointed and will be commencing 29 January 2018.  The acting facility manager has relevant qualifications and skills for the role, is a senior registered nurse with previous aged residential care experience and holds a Bachelor of Nursing. The job description and the individual employment agreement reviewed on-line is kept at the organisation`s support office. The national quality manager on site at the audit was able to access this information.  The acting facility manager interviewed confirmed knowledge of the sector, regulatory and reporting requirements and maintains currency through on-going education. The acting facility manager is supported by the clinical services manager. Both attended the organisation`s annual conference for managers in November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BOPDHB for Aged Related Residential Care (ARRC) rest home, hospital medical and hospital geriatric level care services, respite care, long term chronic, palliative care and the Ministry of Health (MOH) for people under 65 years (YPD).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54 residents were receiving services; 24 residents were receiving rest home care, 26 medical hospital and hospital geriatric level care. In addition, there were two YPD residents, two palliative care (one awaiting a re-assessment) and nolong term chronic hospital level resident under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acting facility manager is absent, the clinical services manager carries out all the required duties under designated authority with support from the regional operations manager and support office personnel. Staff reported the current arrangements have worked well but will be more appropriate when a permanent facility manager is employed.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that reflects the principles of continuous improvement and is understood by staff. This includes management of incidents, and complaints, audit activities, an annual satisfaction survey, monitoring of outcomes, clinical incidents, interRAI, restraint minimisation and safe practice and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Terms of reference and meeting minutes reviewed confirmed adequate reporting systems and discussion occurs on quality matters. Regular review and analysis of quality indicators occurs monthly and related information is reported by the quality coordinator (enrolled nurse) and discussed at the one meeting that includes quality/staff/infection prevention and control/restraint. Minutes reviewed included discussion on pressure injuries, falls, complaints, incidents/events, infections, audit results and activities. Relevant corrective actions are developed on a plan and implemented as necessary and demonstrated a continuous process of quality improvement is occurring. Resident and family surveys are completed annually (last completed June 2017). Surveys are distributed by the support office, collected, collated and information is sent back to the facility manager for ongoing evaluation and monitoring.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cover all necessary aspects of the service and contractual requirement and were current. The document control system is managed by the organisation`s support office and ensures a systematic and regular review process, referencing of relevant sources, approval, distribution and removal of any obsolete documents. Heritage Lifecare Limited (HLL) has implemented HLL policies and procedures since the previous audit. The implementation of the `Tool Box` is used to train staff and to discuss any new policies, procedures and guidelines being introduced from HLL support office. This training is usually implemented as part of the handover between shifts.</w:t>
            </w:r>
          </w:p>
          <w:p w:rsidR="00EB7645" w:rsidRPr="00BE00C7" w:rsidP="00BE00C7">
            <w:pPr>
              <w:pStyle w:val="OutcomeDescription"/>
              <w:spacing w:before="120" w:after="120"/>
              <w:rPr>
                <w:rFonts w:cs="Arial"/>
                <w:b w:val="0"/>
                <w:lang w:eastAsia="en-NZ"/>
              </w:rPr>
            </w:pPr>
            <w:r w:rsidRPr="00BE00C7">
              <w:rPr>
                <w:rFonts w:cs="Arial"/>
                <w:b w:val="0"/>
                <w:lang w:eastAsia="en-NZ"/>
              </w:rPr>
              <w:t>The national quality manager described the processes for the identification, monitoring and reporting of risks and development of any mitigation strategies. The risk register showed consistent review and updating of risks, risk plans and the addition of any new risks identified. The acting facility manager is aware of the Health and Safety at Work Act (2015) and requirements have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are fully completed, incidents are investigated, action plans developed and actions followed-up in a timely manner. Adverse event data is collated, analysed and reported to support office and meeting minutes reviewed showed discussion in relation to any trends identified, action plans and any improvements made.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described essential notification reporting requirements (eg, pressure injuries, health and safety, DHB, human resources, infection control, the coroner and any HDC complaints). The GP and nurse practitioner interviewed were fully informed of any obligations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line with good employment practice and relevant legislation, guide human resources management processes. Position descriptions reviewed were current and defined the key tasks and accountabilities for the various roles. The recruitment process includes referee checks, police vetting and validation of qualifications and practising certificates (APCs), where required. A sample of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included support from another staff member in the same role during the initial orientation period. Staff records showed completed orientation and a performance review was completed after a three month period and annually. Appraisals were current for all staff.</w:t>
            </w:r>
          </w:p>
          <w:p w:rsidR="00EB7645" w:rsidRPr="00BE00C7" w:rsidP="00BE00C7">
            <w:pPr>
              <w:pStyle w:val="OutcomeDescription"/>
              <w:spacing w:before="120" w:after="120"/>
              <w:rPr>
                <w:rFonts w:cs="Arial"/>
                <w:b w:val="0"/>
                <w:lang w:eastAsia="en-NZ"/>
              </w:rPr>
            </w:pPr>
            <w:r w:rsidRPr="00BE00C7">
              <w:rPr>
                <w:rFonts w:cs="Arial"/>
                <w:b w:val="0"/>
                <w:lang w:eastAsia="en-NZ"/>
              </w:rPr>
              <w:t>There was an educational plan for 2017 and 2018. Records were sighted such as a staff competency register inclusive of mandatory training requirements and a separate record of New Zealand Qualification Authority (NZQA) education programme to meet requirements of the provider`s agreement with the BOPDHB.  Care staff have either completed or are enrolled in the NZQA education programme. The enrolled nurse/quality coordinator has completed the annual moderation to maintain assessor status. Education records were discussed with the clinical services manager (CSM) responsible for education. The education records (spread sheet) reviewed was up-to-date. The competency and workbooks are all signed off by the (CSM). There are three registered nurses (RNs) who are trained and competent registered nurses who are maintaining their annual competency requirements to undertake interRAI assessments. Two registered nurses have completed the training but are awaiting competency approval and two (RNs) are booked in for the 2018 training course. Staff records reviewed demonstrated completion of scheduled training up to December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The facility adjusts staffing levels to meet the changing needs of residents using the indictors for safe aged care and dementia care services hand book. Staffing decisions are influenced by the interRAI assessments being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on-call roster system is in place, with staff reporting that good access to advice is available when needed. When interviewed, the general practitioner/clinical nurse specialist for the facility reported that they cover contracted after hours when necessary.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adequate staff available to complete the work allocated to them. The morning registered nurse allocates staff to the wings on a daily basis to ensure adequate cover, if needs of residents have changed. Some caregivers choose to work in specific wings and this system also works effectively. Residents and families interviewed supported this. Observations and review of the two weekly rosters confirmed adequate staff cover has been provided, with staff replaced in any unplanned absence. At least one staff member on duty has a current first aid certificate and there is 24 hour/seven days a week registered nurse coverage for the hospital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clinical services manager (CSM).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and assessments. Signed admission agreements in accordance with contractual requirements, were completed and stored in a separate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BOPDHB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if residents expressed a wish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meet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was reviewed by a qualified dietitian in May 2017.  Recommendations made at that time have been implemented. A food control plan has been registered on 27 September 2017, with a verification audit undertaken by Tauranga City Council on 31 October 2017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residents’ meetings minutes. Any areas of dissatisfaction were promptly responded to. Residents were seen to be given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CSM.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Hodgson House are initially assessed using a range of nursing assessment tools, such as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In all files reviewed initial assessments were completed as per the policy and within 24 hours of admission. InterRAI assessments were completed within three weeks of admission and at least six monthly unless the resident’s condition changed.  Interviews, documentation and observation verified the RNs are familiar with requirement for reassessment of a resident using the interRAI assessment tool when a resident has increasing or changing needs.  The sample of care plans reviewed had an integrated range of resident-related information.  All residents have current interRAI assessments completed by one of three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Interview with a GP and a CNS aligned with the services contracted GP (at present on leave),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(DTs) and a DT assistant.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visits to and from the local day care centre, visiting entertainers, quiz sessions, walking trains, keep fit and daily news updates. 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behaviour management,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palliative care, speech language therapists and outpatient referrals.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were in place, including segregation of waste, recycling and detailing procedures for blood and bodily fluids management and disposal.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seen stored in locked areas around the facility. Signage is displayed where necessary. There is a designated chemical handler who has completed the required chemical handling training (HSNO). </w:t>
            </w:r>
          </w:p>
          <w:p w:rsidR="00EB7645" w:rsidRPr="00BE00C7" w:rsidP="00BE00C7">
            <w:pPr>
              <w:pStyle w:val="OutcomeDescription"/>
              <w:spacing w:before="120" w:after="120"/>
              <w:rPr>
                <w:rFonts w:cs="Arial"/>
                <w:b w:val="0"/>
                <w:lang w:eastAsia="en-NZ"/>
              </w:rPr>
            </w:pPr>
            <w:r w:rsidRPr="00BE00C7">
              <w:rPr>
                <w:rFonts w:cs="Arial"/>
                <w:b w:val="0"/>
                <w:lang w:eastAsia="en-NZ"/>
              </w:rPr>
              <w:t>An external company is contracted to supply and manage the majority of chemicals used for cleaning and the laundry. The company provide relevant training for staff and a monthly report, a sample of which was sighted. Material data sheets were available for the chemicals provided by the external company and these are stored safely. Staff interviewed knew what to do should any chemical spill/event occurs (spill kit sighted) and state they would report any related incidents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including gloves, masks, face shields and plastic aprons/hats.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expires 26 January 2019 is publicly displayed.</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There is a proactive and reactive maintenance programme and buildings, plant and equipment are maintained to a high standard. The testing and tagging of equipment and calibration of bio medical equipment is current as confirmed in the documentation reviewed, interviews with maintenance personnel and observation of the environment. The maintenance person is a qualified electrician and registration is current. The equipment performance verification report audit sighted was dated 15 November 2017.</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were appropriate to the resident groups and setting. The environment is conducive to the range of activities undertaken in the areas. The environment was hazard free and residents were safe. Residents and staff interviewed confirmed they know the processes they should follow if any repairs or maintenance is required, that any requests are appropriately actioned and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toilet, showers and bathing facilities. There are five full ensuite bathrooms in the facility. There are 16 share ensuites (two people share the one ensuite) in the facility. There are five toilets and vanity bathrooms one person use only. All remaining rooms have a vanity / hand basin in their room. There are three bathrooms designated for bed-bath showers (shower trolley facilities) and there are three communal use shower rooms and two have a toilet as well as the shower in the facility. There are six additional toilets in the facility. Equipment/accessories such as shower chairs, raised toilet seats are available if needed to promote residents’ independence. Appropriately secured and approved handrails are provided in the toilet/shower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to allow residents and staff to move around within their bedrooms safely. All bedrooms provide single accommodation. Rooms are personalised with furnishings, photographs, paintings, ornaments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room for use of sling/transfer and standing hoists to be utilised by staff for transferring residents to bed or to the chair. Mobility scooters have a designated parking area when not in use and for charging the batteries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There are two large lounges; one lounge has a designated area with a large stained glass window and seating used as the facility chapel. Services are held twice a week. There are smaller lounges in each service area. There are several dining areas with one main dining room in close proximity to the kitchen. Smaller dining rooms are located throughout the facility. The designated palliative care wing has a small dining room and bench area for serving food when delivered at each meal time for the residents.  The dining room in the hospital wing can accommodate ‘fall out’ chairs and wheelchairs if needed. The spaciousness enables easy access for residents and staff. Residents can access areas for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undertaken on site in a designated laundry. Resident`s personal items are laundered on site or by family members if requested. Residents/family interviewed reported the laundry is managed well and their clothes are returned in a timely manner. The laundry is currently washed by dedicated laundry staff who demonstrated a sound knowledge of the laundry processes, dirty/clean flow and handling of soiled linen. The laundry is managed to a high standard. Product and material data sheets are displayed and can be readily accessed as required. Personal protective equipment is available at all times.</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These staff have completed the New Zealand Qualifications Authority Certificate in Cleaning (Level 2) or other recognised training as confirmed at interview with cleaning and laundry staff. Chemicals were stored in a lockable cupboard and were in appropriately labelled containers. Cleaning and laundry processes were monitored through the internal audit programme and the contracted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31 January 2006. A trial evacuation takes place six monthly with a copy sent to the New Zealand Fire Service, the most recent being the 29 November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a gas barbecue were sighted and meet the requirements for the 55 residents. Two water storage tanks are located around the complex and there is a diesel generator available if needed (checked 20 December 2017).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and residents and families reported staff respond promptly to call bells.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measures are in place. Doors and windows are locked automatically at a predetermined time and a check of doors and windows is completed by oncoming staff in the evenings and add night.  These external doors are alarmed. A contracted security company checks the facility during the night and the contractor signs the contractor`s book.  There is CCTV in all public areas and signage was sighted accordingly at the entrance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and natural light. Gas heating is provided with radiators in individual rooms and in the hallways. Areas are warm and well ventilated throughout the audit and residents and families confirmed the facilities are well maintained at a comfortable temperature. There are three air conditioner unit in the facility – reception, kitchen and hospital nurses station. The kitchen is gas supplied.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infection control co-ordinator (ICC). The infection control programme and manual are to be reviewed annually, due April 2018.  </w:t>
            </w:r>
          </w:p>
          <w:p w:rsidR="00EB7645" w:rsidRPr="00BE00C7" w:rsidP="00BE00C7">
            <w:pPr>
              <w:pStyle w:val="OutcomeDescription"/>
              <w:spacing w:before="120" w:after="120"/>
              <w:rPr>
                <w:rFonts w:cs="Arial"/>
                <w:b w:val="0"/>
                <w:lang w:eastAsia="en-NZ"/>
              </w:rPr>
            </w:pPr>
            <w:r w:rsidRPr="00BE00C7">
              <w:rPr>
                <w:rFonts w:cs="Arial"/>
                <w:b w:val="0"/>
                <w:lang w:eastAsia="en-NZ"/>
              </w:rPr>
              <w:t>The CSM is the designated ICC, whose role and responsibilities are defined in a job description. Infection control matters, including surveillance results, are reported monthly to the CSM and tabled at the quality/risk meeting.  Infection control statistics are entered in the organisation’s electronic database and benchmarked within the organisation’s other facilities. The organisation’s national quality/risk manager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having undertaken training in infection prevention and control and attended relevant study days, as verified in training records sighted.  Well-established local networks with the infection control team at the DHB are available and expert advice from an external advisor, and the national quality/risk manager is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ICC.  Content of the training was documented and evaluated to ensure it was relevant, current and understood.  A record of attendance was maintained. When a potential for an increase in infection incidence is identified, strategies are implemented to minimise occurrence and additional staff education has been provided in response. An increase in fluids with regular offers of ice blocks was observed on audit when high summer temperatures were being experienced. The risk of resident dehydration was openly attended to.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ICC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incidence of infections in this facility continues to remain very low. In July 2017, there were two respiratory infections, which had resolved the following month. The facility is noted to perform highly in regard to infections compared with other similar facilities, as evidenced by benchmarked data,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unable to recall any outbreaks of Norovirus in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is the clinical services manager. The clinical services manager demonstrated a sound knowledge of the organisation`s policies, procedures and practice and the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five residents were using restraints. Two enablers were in use which were the least restrictive and used voluntarily at the individual resident`s request. A similar process is followed for the use of enablers as is used for restraints. This provides for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and records reviewed of those residents who have approved restraints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clinical services manager/restraint coordinator, a registered nurse and the general practitioner, are responsible for the approval of the use of restraints and the restraint processes, as defined in policy. It was evident from review of restraint approval group meetings, review of each resident’s records and interview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 involvement in the decision making as is required by the organisation`s policies and procedures, was on record in each case.  Use of restraint or an enabler is included in the care planning process and documented in the lifestyle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initial assessment is undertaken by a registered nurse with the restraint coordinator`s involvement, and input from the resident`s family/whanau/EPOA. The clinical services manager interviewed/restraint coordinator described the documented process. Families confirmed their involvement. The general practitioner has involvement in the final decision on the safety of the use of the restraint. The assessment process identified the underlying aetiology,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 members. Time is spent explaining how the resident can be safely supported and suitable alternatives, such as the use of sensor mats and low beds are used before use of a restraint is implemented. When restraints are in use, frequent monitoring occurs to ensure the resident remains safe at all times. Records reviewed contain the necessary details, access to advocacy is provided if requested and all processes ensure dignity and privacy are maintained and respected. This is included in the resident`s care plan and monitoring forms reviewed recorded that this had occurred as required.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updated every month and reviewed at each restraint approval group meeting. The register was reviewed and contained all residents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and the mandatory annual restraint questionnaire competency was completed April 2017 by all staff. Staff spoken to understood that the use of restraints was to be minimised and how to maintain safe use was confirmed.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evidenced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r w:rsidRPr="00BE00C7">
              <w:rPr>
                <w:rFonts w:cs="Arial"/>
                <w:b w:val="0"/>
                <w:lang w:eastAsia="en-NZ"/>
              </w:rPr>
              <w:t>The evaluation includes all requirements of the Standard, including future options to eliminate use, the impact and outcomes achieved, if the policy and procedure was followed and documentation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 monthly review of all restraints use which includes all the requirements of this Standard. Six monthly restraint meetings and reports are completed and individual use of the restraint use is reported to the quality and staff meetings. Minutes of meetings reviewed in the restraint folder confirmed and included analysis and evaluation of the amount and type of restraint use in the facility, whether all alternatives to restraint have been considered, the effectiveness of the restraint use, the competency of staff and the appropriateness of restraint/enabler education and feedback from the GP, staff and families. A six monthly internal audit that is carried out also informs these meetings. Any changes to policies, guidelines, education and processes are implemented if indicated. Data reviewed, minutes of meetings and interviews with the clinical services manager and registered nurses confirmed that the use of restraint has been minimised. Graphs are documented which evidences visually the low rate of restraint use at this facility over the past year. (Refer criterion 2.2.1.1)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48"/>
        <w:gridCol w:w="1280"/>
        <w:gridCol w:w="7136"/>
        <w:gridCol w:w="40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restraint process and approval is clearly defined and there are clear lines of accountability for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and approval group meet monthly and minutes were sighted. There is now a clear process documented for restraint approval and accountability is outlined. In January 2017, it was identified in a quality restraint minimisation and safe practice audit that the facility had a high number of residents on restraint with 66% compliance with the restraint minimisation and safe practice standard. Other issues raised included the restraint register was not being updated as reviews were not consistently occurring. Education for staff was minimal at orientation and annual education was not recorded or able to be evidenced for the previous two years. Equipment needed repairs and/or new equipment to be purchased. The newly appointed restraint approval committee together developed and implemented new strategies to improve safe practice and minimise the use of restraint including policies and procedure updates (the roll out of HLL policies and procedures), education and competencies updated, quality reviews/audits, and equipment maintenance checks were performed more often. The GP was supportive and encouraged strategies to reduce restraint use. The committee discussed and set goals to decrease and eliminate the use of restraints, maintaining standard requirements when using a restraint and aimed for there to be no injuries related to restraint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quality initiative was developed and implemented to improve and reduce restraint use as a result of multiple issues identified in an internal audit performed in January 2017. A corrective action plan was instigated and actioned. Ongoing evaluation on a monthly basis evidenced a reduction from 15 residents using a restraint in January to six residents using a restraint in December 2017.  Education was provided for all staff, new equipment was purchased and risks were minimised.  A BOPDHB external audit evidenced in the quarterly report reviewed that Hodgson House Lifecare had no clinical assessment protocols triggered in three months indicating no risks.  This was recorded as a remarkable finding against national and BOPDHB average for CAP triggers of 5 - 8%.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Hodgson House</w:t>
    </w:r>
    <w:bookmarkEnd w:id="58"/>
    <w:r>
      <w:rPr>
        <w:rFonts w:cs="Arial"/>
        <w:sz w:val="16"/>
        <w:szCs w:val="20"/>
      </w:rPr>
      <w:tab/>
      <w:t xml:space="preserve">Date of Audit: </w:t>
    </w:r>
    <w:bookmarkStart w:id="59" w:name="AuditStartDate1"/>
    <w:r>
      <w:rPr>
        <w:rFonts w:cs="Arial"/>
        <w:sz w:val="16"/>
        <w:szCs w:val="20"/>
      </w:rPr>
      <w:t>25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