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Maupuia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Maupuia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2018</w:t>
      </w:r>
      <w:bookmarkEnd w:id="7"/>
      <w:r w:rsidRPr="009418D4">
        <w:rPr>
          <w:rFonts w:cs="Arial"/>
        </w:rPr>
        <w:tab/>
        <w:t xml:space="preserve">End date: </w:t>
      </w:r>
      <w:bookmarkStart w:id="8" w:name="AuditEndDate"/>
      <w:r w:rsidR="00A4268A">
        <w:rPr>
          <w:rFonts w:cs="Arial"/>
        </w:rPr>
        <w:t>7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Maupuia provides residential care for up to 31 residents who require hospital and rest home level care. On the day of the audit there were 27 beds occupied. The facility is operated by the Ultimate Care Group Limited.</w:t>
      </w:r>
    </w:p>
    <w:p w:rsidRPr="00A4268A">
      <w:pPr>
        <w:spacing w:before="240" w:line="276" w:lineRule="auto"/>
        <w:rPr>
          <w:rFonts w:eastAsia="Calibri"/>
        </w:rPr>
      </w:pPr>
      <w:r w:rsidRPr="00A4268A">
        <w:rPr>
          <w:rFonts w:eastAsia="Calibri"/>
        </w:rPr>
        <w:t>This surveillance audit was conducted against the Health and Disability Services Standards. The audit process included review of policies and procedures, review of residents’ and staff files, observations and interviews with residents, families, management, staff, a general practitioner and other allied health professionals.</w:t>
      </w:r>
    </w:p>
    <w:p w:rsidRPr="00A4268A">
      <w:pPr>
        <w:spacing w:before="240" w:line="276" w:lineRule="auto"/>
        <w:rPr>
          <w:rFonts w:eastAsia="Calibri"/>
        </w:rPr>
      </w:pPr>
      <w:r w:rsidRPr="00A4268A">
        <w:rPr>
          <w:rFonts w:eastAsia="Calibri"/>
        </w:rPr>
        <w:t>Two areas requiring improvement from the previous audit relating to the process for service delivery planning, short-term care plans and updating long term care plans have been addressed. The third requirement relating to names and designation of services providers making entries into residents’ records not always being legible remains open.</w:t>
      </w:r>
    </w:p>
    <w:p w:rsidRPr="00A4268A">
      <w:pPr>
        <w:spacing w:before="240" w:line="276" w:lineRule="auto"/>
        <w:rPr>
          <w:rFonts w:eastAsia="Calibri"/>
        </w:rPr>
      </w:pPr>
      <w:r w:rsidRPr="00A4268A">
        <w:rPr>
          <w:rFonts w:eastAsia="Calibri"/>
        </w:rPr>
        <w:t>There are two new areas requiring improvement from this audit relating to weekly checks of controlled drugs and aspects of food storage, documentation concerning cleaning schedules in the kitchen and the cook’s qualifications.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business plan and quality and risk management systems are fully implemented at Ultimate Care Maupuia and include a documented scope, direction, goals, values, and a mission statement. Systems are in place for monitoring the service, including regular reporting by the facility manager and clinical services manager to head office.</w:t>
      </w:r>
    </w:p>
    <w:p w:rsidRPr="00A4268A">
      <w:pPr>
        <w:spacing w:before="240" w:line="276" w:lineRule="auto"/>
        <w:rPr>
          <w:rFonts w:eastAsia="Calibri"/>
        </w:rPr>
      </w:pPr>
      <w:r w:rsidRPr="00A4268A">
        <w:rPr>
          <w:rFonts w:eastAsia="Calibri"/>
        </w:rPr>
        <w:t xml:space="preserve">The facility is managed by a facility manager who has a background in management and has been in the position for 18 months. The facility manager is supported by a clinical services manager who is a registered nurse.  The clinical services manager is responsible for oversight of the clinical service in the facility. </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Accident/incident forms and meeting minutes evidenced corrective action plans are developed, implemented, monitored and signed off as being completed to address any areas that require improvement.  Quality, health and safety, and various staff and residents’ meetings are held on a regular basis.</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w:t>
      </w:r>
    </w:p>
    <w:p w:rsidRPr="00A4268A">
      <w:pPr>
        <w:spacing w:before="240" w:line="276" w:lineRule="auto"/>
        <w:rPr>
          <w:rFonts w:eastAsia="Calibri"/>
        </w:rPr>
      </w:pPr>
      <w:r w:rsidRPr="00A4268A">
        <w:rPr>
          <w:rFonts w:eastAsia="Calibri"/>
        </w:rPr>
        <w:t>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rostered on duty at all times. The clinical services manager and facility manager are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general practitioner and physiotherapist,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and administered by registered nursing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A range of individual resident food likes/dislikes, as well as dietary and cultural needs, are accommodated. Residents reported they were very satisfied with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clear policies and procedures that meet the requirements of the restraint minimisation and safe practice standard. There were no residents using restraint and one resident using an enabler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Well-developed processes and systems are in place for infection surveillance, and for reporting of and responding to surveillance results. Surveillance data is benchmarked both internally and also with other UCG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 information is provided to residents and families on admission and there is complaints information and forms available throughout the facility.  All complaints are entered into the electronic data base.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five complaints were received in 2017 and none to date for 2018. Actions taken, through to an agreed resolution,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Several languages are spoken by staff including te reo Māori, Tongan, Italian and staff use sign language to communicate with a Chinese resident and family members act as interpreters if needed. Interpreter services can be accessed via the nationwide interpreter services if required. Staff knew how to do so and brochures on the service were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(UCG) is the governing body and is responsible for the service provided at Ultimate Care Maupuia.  A quality and risk management plan that includes a business plan was reviewed and includes a mission and vision statement, core values, quality objectives, quality indicators, quality projects, and scope of service. An organisational flowchart shows the structure and reporting lines within the organisation. The service philosophy is in an understandable form and is available to residents and their family / 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has established systems in place which defined the scope, direction and goals of the organisation at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manager’s reports to UCG head office includes, but is not limited to, reporting on occupancy, staffing and human resources management, environmental and property reports, financial reporting, interRAI assessments, and general comments.  Daily reporting to UCG head office is via an electronic database which is also used by the CSM and the RNs to input clinical indicators and incident/accidents.</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the regional manager meets with the FM at least monthly and has verbal contact twice a week.  Regional meetings are held with all FMs and CSMs three monthly where various topics are discussed and peer support is active.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has been in the position for 18 months.  The facility manager has held management positions in the private sector and has owned a business. The FM is supported by an experienced clinical services manager (CSM) / registered nurse who has been in the role for 12 months. The CSM has experience in working in the aged care sector. The CSM is responsible for oversight of clinical care provided to residents. The senior management team from UCG head office also provide support as required. </w:t>
            </w:r>
          </w:p>
          <w:p w:rsidR="00EB7645" w:rsidRPr="00BE00C7" w:rsidP="00BE00C7">
            <w:pPr>
              <w:pStyle w:val="OutcomeDescription"/>
              <w:spacing w:before="120" w:after="120"/>
              <w:rPr>
                <w:rFonts w:cs="Arial"/>
                <w:b w:val="0"/>
                <w:lang w:eastAsia="en-NZ"/>
              </w:rPr>
            </w:pPr>
            <w:r w:rsidRPr="00BE00C7">
              <w:rPr>
                <w:rFonts w:cs="Arial"/>
                <w:b w:val="0"/>
                <w:lang w:eastAsia="en-NZ"/>
              </w:rPr>
              <w:t>Ultimate Care Maupuia is certified to provide 31 beds for hospital and rest home level care. On the day of audit there were nine hospital residents of which one resident is aged under 65 years and 18 rest home residents. The eight beds down stairs are rest home beds only and the 23 beds up-stairs have all been approved as dual-purpose beds and can accommodate either rest home or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for ‘Aged Related Residential Care’ and ‘Short Term Residential care’. The FM reported there is also a ‘Capital Support’ contract with the Ministry of Health for the resident under 65 years.</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HealthCERT has been notified of the change of FM and CSM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2018 guides the quality programme and included goals and objectives. Projects for Ultimate Care Maupuia 2018 includes unintentional weight management and falls prevention. An internal audit programme is in place and audits have been completed as scheduled.</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were recorded on various registers and forms. Data is being collected, collated and comprehensively analysed to identify trends.  The quality indicator analysis reports for January and February 2018 were reviewed and confirmed this. Corrective actions are developed and implemented to improve service delivery following completion of internal audits, surveys, incident/accidents, complaints and any deficits identified at the various meetings. There was evidence of monitoring to make sure corrective actions have been effective.  The FM demonstrated good knowledge relating to quality and risk management. Graphs are generated, including benchmarking with other facilities within the group. The CSM was unavailable for interview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evidenced monthly staff, registered nurse (RN) and health and safety meetings. Quality meetings are held three monthly. Meeting minutes evidenced reporting of clinical indicators including analysis and trends. Staff confirmed they discuss these at their meetings. </w:t>
            </w:r>
          </w:p>
          <w:p w:rsidR="00EB7645" w:rsidRPr="00BE00C7" w:rsidP="00BE00C7">
            <w:pPr>
              <w:pStyle w:val="OutcomeDescription"/>
              <w:spacing w:before="120" w:after="120"/>
              <w:rPr>
                <w:rFonts w:cs="Arial"/>
                <w:b w:val="0"/>
                <w:lang w:eastAsia="en-NZ"/>
              </w:rPr>
            </w:pPr>
            <w:r w:rsidRPr="00BE00C7">
              <w:rPr>
                <w:rFonts w:cs="Arial"/>
                <w:b w:val="0"/>
                <w:lang w:eastAsia="en-NZ"/>
              </w:rPr>
              <w:t>The Ultimate Care Group policies and procedures are fully implemented at Ultimate Care Maupuia.  Policies and procedures are relevant to the scope and complexity of the service, reflected current accepted good practice, and reference legislative requirements.  The care plan policy includes interRAI requirements. Policies / procedures are available with systems in place for reviewing and updating the policies and procedures regularly, including a policy for document update reviews and document control policy. New/reviewed policies are an agenda item and discussed at the quality meetings. Staff signing sheets demonstrated staff have been updated on new/reviewed policies. Staff interviewed confirmed this.  Staff also confirmed the policies and procedures provided appropriate guidance for service delivery and they were advised of new policies /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that includes relevant policies and procedures. Actual and potential risks are identified and documented in the hazard register. The hazard register identifies hazards and showed the actions put in place to isolate or eliminate risks. Newly found hazards are communicated to staff and residents as appropriate. The health and safety coordinator is responsible for hazards. The health and safety representative was not available for interview. The FM demonstrated an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These are collated by the clinical services manager. The original is kept in the residents’ files. Documentation reviewed, and interviews of staff indicated appropriate management of adverse events.  The RNs are responsible for entering all incident/accidents into the electronic data base as they occur. A monthly incident summary reflects all incidents/accidents occurring and the information is used to generate a monthly report from the collected data.</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 The 2017 satisfaction survey supported this.</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have been no essential notifications (Section 31)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are managed well and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CSM. There was good evidence of in-service education provided for staff and documentation showed this is provided at least weekly and includes external educators. Individual certificates of training including competencies are held on staff files. Attendance records are maintained electronically. Five RNs are interRAI trained and have current competencies. All RNs and the activities coordinator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the newly appointed cook has completed food safety training. (see criterion 1.3.13.5).</w:t>
            </w:r>
          </w:p>
          <w:p w:rsidR="00EB7645" w:rsidRPr="00BE00C7" w:rsidP="00BE00C7">
            <w:pPr>
              <w:pStyle w:val="OutcomeDescription"/>
              <w:spacing w:before="120" w:after="120"/>
              <w:rPr>
                <w:rFonts w:cs="Arial"/>
                <w:b w:val="0"/>
                <w:lang w:eastAsia="en-NZ"/>
              </w:rPr>
            </w:pPr>
            <w:r w:rsidRPr="00BE00C7">
              <w:rPr>
                <w:rFonts w:cs="Arial"/>
                <w:b w:val="0"/>
                <w:lang w:eastAsia="en-NZ"/>
              </w:rPr>
              <w:t>The FM advised a New Zealand Qualification Authority education programme will be again available soon for staff who have not already completed the programme. An external assessor is available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required to complete the orientation programme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The policy includes the staffing requirement in-line with the contract with the DHB. A skills matrix is also included in the quality and risk management plan to help with rostering. An electronic programme is used to calculate staffing levels that is based on best practice.  The rosters evidenced staffing levels exceed the minimum requirements. The FM reported the rosters are reviewed continuously with the CSM and dependency levels of residents and the physical environment are considered. The CSM is full time Monday to Friday, and registered nurse cover is seven days a week over the 24-hour period. There are three health care assistants (HCA) on the morning shifts with a fourth on when the day care residents visit the facility. Three HCAs are on the afternoon shifts and one HCA on the night shifts. Health care assistants also share the cleaning and laundry duties. The activities person works 35 hours per week and there are two cooks and a kitchen hand.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adequate staff are available and that they can get through the work allocated to them. Residents and families interviewed reported the number of staff on duty is adequate to provide them or their relative with safe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previous audit a finding was made in relation to the need to ensure all records are legible and the designation of the service provider is identifiable.  A review of seven residents’ files during this audit identified this criterion remains an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electronic system for medicine management was observed on the day of audit. The staff observed demonstrated good knowledge and had a clear understanding of their roles and responsibilities related to each stage of medicine management.  All medications are administered by registered nurses, who are assessed annually for their competence to perform this function. The RN advised that a review of a report of all ‘not administered’ medications is undertaken monthly, and follow-up action taken as necessary using an established process. A copy of the most recent report was sighted, and the RN described the actions taken in relation to that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Medications sighted were within current use by dates. Clinical pharmacist input is undertaken through consultation with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required weekly checks of the controlled stock checks and accurate entries are not being undertaken consistently.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self-administered medications at the time of audit, although processes are in place to ensure this can be managed in a safe manner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who has very recently been appointed to this position. The chef advised they had completed food safety training, but their staff file did not contain a copy of their qualifications or certificates. The menu is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transportation, delivery and disposal comply with current legislation and guidelines. The storage of dry goods, such as sugar and flour, requires improvement, as is the monitoring of kitchen fridge/freezer temperatures, and the implementation/documentation of planned cleaning schedules. The Facility Manager advised that a food safety plan specific to the facility is currently under development.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from residents’ meeting minutes reviewed. Residents were seen to be given sufficient time to eat their meal in an unhurried fashion and those requiring assistance had this provided in a dignified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an appropriate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coordinated by an activities officer who has been in this role for twelve months. The officer is in the process of enrolling for the national Certificate in Diversional Therapy. They are supported in their role by two volunteers.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multidisciplinary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included normal community activities. Individual, group activities and regular events are offered. Residents and families/whānau are involved in evaluating and improving the programme through residents’ meetings, annual satisfaction surveys, and informal feedback after activities. Residents interviewed confirmed they find the programme interesting and varied.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in conjunction with the six-monthly interRAI reassessment and multidisciplinary review,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other medical events. When necessary, and for unresolved problems, long term care plans are added to and updated. This has addressed an area previously identified as requiring improvement.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expires on the 10 November 2018. There have been no structural alterations undertaken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a range of relevant infections.  The Infection Control Coordinator outlined the processes for reporting any suspected infections.  Infection control forms and plans were seen in three of the clinical files reviewed.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Trends are identified, and results analysed in conjunction with the Clinical Services Manager and reported to the Facility Manager. Copies of these reports were sighted. Results are also reported to the three-monthly Infection Control Committee meetings. Surveillance results are also reported to staff at handover meetings, and within the regular staff meetings.  Surveillance data is also entered into the group’s data base and benchmarked within the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has a section on enablers that includes a definition, assessment and evaluation. The FM reported the use of restraint has been a focus with the aim of minimising restraint use. Low beds have been purchased for residents and currently there are no residents using restraint. One resident is using an enabler. Staff interviewed demonstrated knowledge of what an enabler is, and the process should a patient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2"/>
        <w:gridCol w:w="1280"/>
        <w:gridCol w:w="5592"/>
        <w:gridCol w:w="1670"/>
        <w:gridCol w:w="29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 files were reviewed.  Resident progress notes are updated each shift by staff. Entries made by registered nurses in the progress notes include the use of a stamp with their name and designation. However, in each of the seven files reviewed there were numerous instances in the progress notes where the name and/or designation of other staff members making an entry into the progress notes could not be identified. For example, in one file, there were seven entries over a one-week period in which either the surname and/or designation of the staff member making that entry could not be established.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names and/or designations of all providers making entries into the resident record are not consistently identifiable.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name and designation of the service provider making entries into the resident record is identifiable.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in the controlled drug register confirmed that two staff checked out any controlled medications. When a sample of four medication counts from the drug registered were compared with the quantity of medications stored in the controlled medication cabinet, the entries corresponded with the amount of medication available. </w:t>
            </w:r>
          </w:p>
          <w:p w:rsidR="00EB7645" w:rsidRPr="00BE00C7" w:rsidP="00BE00C7">
            <w:pPr>
              <w:pStyle w:val="OutcomeDescription"/>
              <w:spacing w:before="120" w:after="120"/>
              <w:rPr>
                <w:rFonts w:cs="Arial"/>
                <w:b w:val="0"/>
                <w:lang w:eastAsia="en-NZ"/>
              </w:rPr>
            </w:pPr>
            <w:r w:rsidRPr="00BE00C7">
              <w:rPr>
                <w:rFonts w:cs="Arial"/>
                <w:b w:val="0"/>
                <w:lang w:eastAsia="en-NZ"/>
              </w:rPr>
              <w:t>Up until four weeks prior to the audit, the required weekly checks of the controlled drug stocks and accurate entries had been recorded in the controlled drug register, but on the day of the audit it was four weeks since these checks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weekly count/check of controlled medication stocks and the accuracy of entries in the register has not been completed consistently.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checks of the controlled drug stocks and the accuracy of entries in the controlled drug register are undertaken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for the facility is procured from an established source, and the preparation of food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the kitchen fridges/freezer were not recorded for 18 days in the month prior to the audit, or for the day immediately before the audit. Those temperatures that had been recorded were within the required temperature range. Leftover food items in the fridge were covered, and the date of preparation recorded (all had been prepared within the past 24 hours). Any opened food containers in the fridge had the date of first use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schedules had been developed which detailed daily, weekly and three-monthly cleaning requirements. The implementation records for those cleaning schedules were incomplete. For example, two items on the three-monthly schedules were at least two months overdue, while on the daily cleaning record the majority of cleaning tasks were recorded as having been completed.  On observation, the kitchen was slightly untidy but relatively clean. </w:t>
            </w:r>
          </w:p>
          <w:p w:rsidR="00EB7645" w:rsidRPr="00BE00C7" w:rsidP="00BE00C7">
            <w:pPr>
              <w:pStyle w:val="OutcomeDescription"/>
              <w:spacing w:before="120" w:after="120"/>
              <w:rPr>
                <w:rFonts w:cs="Arial"/>
                <w:b w:val="0"/>
                <w:lang w:eastAsia="en-NZ"/>
              </w:rPr>
            </w:pPr>
            <w:r w:rsidRPr="00BE00C7">
              <w:rPr>
                <w:rFonts w:cs="Arial"/>
                <w:b w:val="0"/>
                <w:lang w:eastAsia="en-NZ"/>
              </w:rPr>
              <w:t>Dry goods are stored in two separate areas. Most dry goods had been placed in plastic containers once opened, but the date of first use of many items was not recorded or else only partially recorded (eg, day/month recorded, but not year). The cook advised these containers were not washed prior to being refilled. Two bags of sugar, and a bag of flour, had not been resealed after being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who had only recently been appointed to the role, stated they were a qualified chef, and also had current food safety qualifications. This was verbally confirmed by the Facility Manager, and also the agency that had employed the cook immediately prior to their appointment at Ultimate Care Maupuia, but there was no documented evidence to confirm those qualifications.  According to the facility’s education database, two other kitchen staff have completed food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related to the implementation of cleaning schedules is incomplete, as is the documentation related to daily temperature checks of kitchen fridges/freezers.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Dry food items do not have the date of first use recorded, and bags of dry goods were not resealed after being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confirmed evidence of the qualifications of the cook, including whether they had a current food safety qualification.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schedules are fully implemented as scheduled.  The checking of kitchen fridges/freezer temperatures is completed daily and documented. Any dry food items are appropriately stored after being opened, and the date of first use is recorded.  There is documented evidence that all kitchen staff hold a current food safety qualification.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Maupuia</w:t>
    </w:r>
    <w:bookmarkEnd w:id="58"/>
    <w:r>
      <w:rPr>
        <w:rFonts w:cs="Arial"/>
        <w:sz w:val="16"/>
        <w:szCs w:val="20"/>
      </w:rPr>
      <w:tab/>
      <w:t xml:space="preserve">Date of Audit: </w:t>
    </w:r>
    <w:bookmarkStart w:id="59" w:name="AuditStartDate1"/>
    <w:r>
      <w:rPr>
        <w:rFonts w:cs="Arial"/>
        <w:sz w:val="16"/>
        <w:szCs w:val="20"/>
      </w:rPr>
      <w:t>7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