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 V and C D Hodson - Westella Homestead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 V and C D Hodson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Westella Homestead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February 2018</w:t>
      </w:r>
      <w:bookmarkEnd w:id="7"/>
      <w:r w:rsidRPr="009418D4">
        <w:rPr>
          <w:rFonts w:cs="Arial"/>
        </w:rPr>
        <w:tab/>
        <w:t xml:space="preserve">End date: </w:t>
      </w:r>
      <w:bookmarkStart w:id="8" w:name="AuditEndDate"/>
      <w:r w:rsidR="00A4268A">
        <w:rPr>
          <w:rFonts w:cs="Arial"/>
        </w:rPr>
        <w:t>15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Westella Homestead provides residential care for up to 26 residents who require rest home and dementia level care.  The rest home is a historic homestead situated in large private grounds. The organisation is a family owned business with the mission of ‘supporting people to have a better day’.</w:t>
      </w:r>
    </w:p>
    <w:p w:rsidRPr="00A4268A">
      <w:pPr>
        <w:spacing w:before="240" w:line="276" w:lineRule="auto"/>
        <w:rPr>
          <w:rFonts w:eastAsia="Calibri"/>
        </w:rPr>
      </w:pPr>
      <w:r w:rsidRPr="00A4268A">
        <w:rPr>
          <w:rFonts w:eastAsia="Calibri"/>
        </w:rPr>
        <w:t>There has been a change in management structure since the last audit. There is no longer a facility manager. This role has been divided between the existing general manager (GM) and the newly established role of clinical team leader (CTL).</w:t>
      </w:r>
    </w:p>
    <w:p w:rsidRPr="00A4268A">
      <w:pPr>
        <w:spacing w:before="240" w:line="276" w:lineRule="auto"/>
        <w:rPr>
          <w:rFonts w:eastAsia="Calibri"/>
        </w:rPr>
      </w:pPr>
      <w:r w:rsidRPr="00A4268A">
        <w:rPr>
          <w:rFonts w:eastAsia="Calibri"/>
        </w:rPr>
        <w:t xml:space="preserve">This surveillance audit was conducted against a subset of the Health and Disability Service Standards and the service’s contract with the district health board (DHB). The audit process included the review of policies and procedures, review of residents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 xml:space="preserve">All previous areas requiring improvement have been addressed. The audit resulted in one area requiring an improvement. This relates to annual staff performance appraisals.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systems were appropriate to the needs of the residents. Sufficient information is made available. Interpreter services can be accessed if required. Interview with residents and family confirmed open communication opportunities with management and staff.</w:t>
      </w:r>
    </w:p>
    <w:p w:rsidRPr="00A4268A">
      <w:pPr>
        <w:spacing w:before="240" w:line="276" w:lineRule="auto"/>
        <w:rPr>
          <w:rFonts w:eastAsia="Calibri"/>
        </w:rPr>
      </w:pPr>
      <w:r w:rsidRPr="00A4268A">
        <w:rPr>
          <w:rFonts w:eastAsia="Calibri"/>
        </w:rPr>
        <w:t xml:space="preserve">The complaints process is accessible. Records of complaints sampled confirmed appropriate and timely responses. A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organisation is governed by the director who is also the owner. It is a family owned and operated business. The general manager (GM) is employed by this company. The clinical team leader (CTL) is responsible for the clinical day to day running of the home. Organisational performance is monitored.</w:t>
      </w:r>
    </w:p>
    <w:p w:rsidRPr="00A4268A">
      <w:pPr>
        <w:spacing w:before="240" w:line="276" w:lineRule="auto"/>
        <w:rPr>
          <w:rFonts w:eastAsia="Calibri"/>
        </w:rPr>
      </w:pPr>
      <w:r w:rsidRPr="00A4268A">
        <w:rPr>
          <w:rFonts w:eastAsia="Calibri"/>
        </w:rPr>
        <w:t>The quality and risk management system is fully implemented. Quality data is used to improve services. Policies and procedures are current. Adverse events are documented, investigated and closed in a timely manner.</w:t>
      </w:r>
    </w:p>
    <w:p w:rsidRPr="00A4268A">
      <w:pPr>
        <w:spacing w:before="240" w:line="276" w:lineRule="auto"/>
        <w:rPr>
          <w:rFonts w:eastAsia="Calibri"/>
        </w:rPr>
      </w:pPr>
      <w:r w:rsidRPr="00A4268A">
        <w:rPr>
          <w:rFonts w:eastAsia="Calibri"/>
        </w:rPr>
        <w:t>Human resources process ensure suitably qualified staff are on site over the 24-hour period. Competencies are maintained and there are sufficient staff on duty at all times.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care plans are developed in a timely manner by the registered nurses. Plans are individualised and comprehensive. Interventions are supported by best practice. Residents’ care is evaluated on a regular basis, and more frequently when residents’ needs change.</w:t>
      </w:r>
    </w:p>
    <w:p w:rsidRPr="00A4268A" w:rsidP="00621629">
      <w:pPr>
        <w:spacing w:before="240" w:line="276" w:lineRule="auto"/>
        <w:rPr>
          <w:rFonts w:eastAsia="Calibri"/>
        </w:rPr>
      </w:pPr>
      <w:r w:rsidRPr="00A4268A">
        <w:rPr>
          <w:rFonts w:eastAsia="Calibri"/>
        </w:rPr>
        <w:t>There are well-established processes in place to guide continuity of care. The registered nurses are accessible at all times if assistance is required.</w:t>
      </w:r>
    </w:p>
    <w:p w:rsidRPr="00A4268A" w:rsidP="00621629">
      <w:pPr>
        <w:spacing w:before="240" w:line="276" w:lineRule="auto"/>
        <w:rPr>
          <w:rFonts w:eastAsia="Calibri"/>
        </w:rPr>
      </w:pPr>
      <w:r w:rsidRPr="00A4268A">
        <w:rPr>
          <w:rFonts w:eastAsia="Calibri"/>
        </w:rPr>
        <w:t xml:space="preserve">A diversional therapist manages the residents’ activity programme, which offers residents a variety of individual and group activities. Residents are encouraged to maintain their links with the community and can wander freely around the home and gardens. </w:t>
      </w:r>
    </w:p>
    <w:p w:rsidRPr="00A4268A" w:rsidP="00621629">
      <w:pPr>
        <w:spacing w:before="240" w:line="276" w:lineRule="auto"/>
        <w:rPr>
          <w:rFonts w:eastAsia="Calibri"/>
        </w:rPr>
      </w:pPr>
      <w:r w:rsidRPr="00A4268A">
        <w:rPr>
          <w:rFonts w:eastAsia="Calibri"/>
        </w:rPr>
        <w:t>Medication management is implemented in line with legislation and guidelines. Medication competencies are completed for all staff who administer medication.</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assistance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have been no changes to the facility since the last audit. The building warrant of fitness is current. Trial evacuation are completed as required.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processes in place for determining safe and appropriate restraint and enabler use. The grounds are secure, and on the day of audit there were no residents requiring the use of restraints or enablers. There are two rest home residents’ who have requested to remain in the facility, despite it being a secure facility are able to independently exit at any time.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sufficient for the size and scope of the organisation. Infection control surveillance data is recorded and monitored.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8"/>
        <w:gridCol w:w="1280"/>
        <w:gridCol w:w="98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team leader (CTL), with the support of the general manager, (GM) is responsible for the management of complaints. A complaints register is maintained. The complaints process is detailed in the service agreement and the information brochure. The complaints sampled confirmed that complaints are dealt with appropriately and closed out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GM advised that a complaint had been made to the HDC since the previous audit. There has been a decision to take no action in accordance with legislation.  The same family took this complaint to the DHB, MOH, and police.  Staff report that all investigations undertaken found the complaint to be unsubstantiated.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compliant with Right 10 of the Code. Quality and staff meeting minutes sampled confirmed staff were involved in the development of corrective actions and outcomes.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and procedures set out practice guidelines. Open disclosure to residents and their families occurs within the time frames set in the policy. Clinical records sampled confirmed this occurred.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have monthly meetings. Meeting minutes sampled confirmed that information is shared with staff and residents.</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 is available, and documentation provides contact details. In interviews, staff reported that interpreter services have never been formally required, as staff can provide the service to the one resident that requires help with interpreting.  Residents and their families are informed of the interpreter service available in the service agreement.</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members stated that they feel comfortable discussing any matters with staff or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CD Hodson is the governing body. The GM and the finance manager report to the owner /director monthly. Reports sampled showed that risks, complaints, quality and trends are covered. The mission, the vision, and the values are included in the business plan. The residents and their families are made aware of the scope of the business in the service agreement. The organisation has a strategic plan which is due for review in 2019.  There is a business plan covering 2017-2018.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restructured the management line and the CTL is now responsible for the day to day management of the facility. The CTL is a registered nurse and has been recently appointed to the position. The CTL position description clearly defines the role.  The CTL reports directly to the GM and is supported by the other registered nurse. The GM is responsible for the operations and management of the business.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previously provided both rest home and dementia level care but has been transitioning to dementia care only for some time. On the day of the audit there were 24 residents with dementia and two rest home residents. The two rest home residents have approval to stay from the funders. The organisation also has contracts with the DHB to provide respite and day care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plan guides the quality programme and includes quality goals and objectives. The GM is responsible for ensuring the organisations quality and risk management system is maintained. Quality meetings have been separated out from staff meetings to ensure quality issues are given appropriate attention. Quality improvement data is collected and collated, analysed and reported. Minutes and registers sampled provided evidence that corrective actions are developed, implemente, monitored and signed off. The CTL manages the internal audit programme. The internal audits sampled confirmed that the 2017 audit schedule was completed.  Non-conformities were identified and improvements made.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reflect current good practice and legislative requirements and are appropriate for the size and complexity of the organisation.  The system is electronic and migrating to a shared platform. Document control processes are in place. This is the responsibility of the GM. Staff interviewed confirmed that policies and procedures provide appropriate guidance for service delivery. The quality plan and risk management plan is relevant to the size and scope of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management plan identifies risks and sets out management strategies. There is a health and safety system. This includes the comprehensive hazard register, and a process for identifying new hazards.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and untoward events are documented in the accident and incident register. There are two systems to document and manage adverse events.  Residents adverse events are managed through an electronic system referred to as a key performance indicator (KPI) and incidents and accidents are recorded manually. Records of adverse events sampled confirmed that events are well managed, including appropriate immediate actions and the required follow up.  </w:t>
            </w:r>
          </w:p>
          <w:p w:rsidR="00EB7645" w:rsidRPr="00BE00C7" w:rsidP="00BE00C7">
            <w:pPr>
              <w:pStyle w:val="OutcomeDescription"/>
              <w:spacing w:before="120" w:after="120"/>
              <w:rPr>
                <w:rFonts w:cs="Arial"/>
                <w:b w:val="0"/>
                <w:lang w:eastAsia="en-NZ"/>
              </w:rPr>
            </w:pPr>
            <w:r w:rsidRPr="00BE00C7">
              <w:rPr>
                <w:rFonts w:cs="Arial"/>
                <w:b w:val="0"/>
                <w:lang w:eastAsia="en-NZ"/>
              </w:rPr>
              <w:t>The CTL is responsible for managing clinical events and all other events are managed by the GM.  Information is collated from both systems and reported on monthly.   Quality, staff, and resident meeting minutes sampled confirmed the sharing of information occurs.  The GM reports adverse events to the director via monthly reports. Reports sampled confirmed that adverse events are an agenda item.</w:t>
            </w:r>
          </w:p>
          <w:p w:rsidR="00EB7645" w:rsidRPr="00BE00C7" w:rsidP="00BE00C7">
            <w:pPr>
              <w:pStyle w:val="OutcomeDescription"/>
              <w:spacing w:before="120" w:after="120"/>
              <w:rPr>
                <w:rFonts w:cs="Arial"/>
                <w:b w:val="0"/>
                <w:lang w:eastAsia="en-NZ"/>
              </w:rPr>
            </w:pPr>
            <w:r w:rsidRPr="00BE00C7">
              <w:rPr>
                <w:rFonts w:cs="Arial"/>
                <w:b w:val="0"/>
                <w:lang w:eastAsia="en-NZ"/>
              </w:rPr>
              <w:t>The GM is aware of essential notification reporting requirements. The GM advised that no adverse events have been notified to the DHB since the last audit. Since the last audit there have been improvements in the residents’ security system and no dementia resident has left the premises without supervision. Staff confirmed in interviews their awareness of the requirement to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for human resource management are in place. Each position has a documented job description.  Professional qualifications are validated. Annual practicing certificates for the registered nurses (RNs) were sighted and all staff have the required dementia level training. The CTL has interRAI assessment training and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includes the induction of all new staff members. Personnel files sampled confirmed clinical staff received education as per the education plan and that orientation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in-service education programme that meets contract requirements. The 2017 programme was sighted with evidence that all planned training was delivered. A plan for 2018 has been developed. This programme covers the essential components for the service and includes education on dementia care and pressure injury. Mandatory competencies include medication administration and first aid. The previously identified area of improvement regarding training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 improvement is required to ensure the staff appraisal programme remains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skill mix document that provides the rationale for staffing numbers. The CTL completes the roster. Rosters sampled confirmed the required number of staff per scheduled on each shift. There is a pool of casual staff who are available to cover sick and annual leave.</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 cover is provided daily between the hours of 8.30am to 4.30pm and on an on-call basis at all other times. There is a sufficient number of care givers on each shift with the minimum amount of staff on duty between 11.30pm and 7.30am. This shift is covered by two care givers.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there is adequate staff available to provide required care. Family interviewed confirmed staffing levels appear adequate.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is implemented in line with guidelines and regulations. Medications are administered by registered nurses and care giving staff who have been assessed as competent. Staff observed demonstrated good knowledge and had a clear understanding of their roles and responsibilities related to each stage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uses an electronic medicine management system. Electronic charts include photo identification and allergies. Each medication is individually prescribed. The use of ‘as required’ medication is monitored. Any as required (PRN) medication administered requires electronic authorisation on the resident’s medication chart. PRN medication requests include indications for use. Standing orders are not used.  Medications are reviewed by the GP every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is securely stored. All medications are dispensed in blister packs. Medication fridge temperatures are monitored. Controlled drugs are stored in a separate locked cupboard. There was one resident requiring regular administration of a controlled drug during the audit.  The controlled drug register evidences accurate records.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their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analysis of any medication errors, and compliance with this process is verified.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fluid and nutritional requirements of the residents is provided in line with recognised nutritional guidelines for older people as verified by the dietitian’s 2017 assessment of the menu plan. Food and fluids are available over the 24-hour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and a dietary profile developed.  The personal food preferences of the residents, special diets and modified nutritional requirements are known to the cook and accommodated in the daily meal plan. There is an effective and systematic approach to ensuring that residents’ nutrition and fluid intake is monitored and followed up when a concern arises.  All residents are weighted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previously identified areas required improvement regarding kitchen and cleaning processes have all been addressed. Routine internal audits of kitchen services are being conducted to monitor ongoing compliance. Evidence regarding satisfaction with meals was confirmed during resident and family interviews,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lunch time meal service was observed. There was a sufficient number of staff in the dining room to ensure appropriate assistance was available to residents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staff on duty in the dining rooms at meal times to ensure appropriate assistance is available to residents as needed. The dining rooms are clean, warm, light and airy to enhance the eating experience.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include objectives. The interventions required to meet objectives are documented. Interventions sighted were appropriate and based on best practice. Short term care plans have been initiated for short term or acute events. For example, the required observations are documented following a fall and successful wound healing as a result of appropriate dressings and management. Documentation and observations demonstrated that consultation and liaison is occurring with other services as required. Residents and family members expressed satisfaction with the care provided. Implementation of appropriate clinical interventions was confirmed in interview with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areas of improvement regarding interventions to addressed cultural needs, wound management plans and updated interventions to manage falls risks have all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sufficient supplies of equipment seen to be available that complied with best practice guidelines and met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(DT) coordinates the residents’ activity programme. Activities assessments and activity plans are completed on admission and regularly reviewed. This data is used to develop an activities programme that is meaningful to the residents. Attendance and involvement with activities is monitored. The programme is appropriate for both rest home residents and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Family and friends are welcome to attend all activities. Group activities are developed according to the needs and preferences of the residents who choose to participate. Residents with dementia have a 24-hour activity plan. Outings take place and residents have signed consents for going on outings. Residents were observed participating in a wide variety of activities during the audit. This included gardening, playing pool, enjoying the garden, ‘working’, reading, playing games and participating in physical exercises. All residents were observed enjoying the activities they were participating in. The rest home and gardens are large and residents can wander freely and securely.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monthly.  Meeting minutes and satisfaction surveys evidence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complete routine evaluations of the residents’ progress towards identified goals. This is completed every six months, or sooner if required. Goals and nursing objectives are documented in the long-term care plans. Resident care is also evaluated on each shift and reported in the progress notes.  If any change is noted it is reported to the RN’s.</w:t>
            </w:r>
          </w:p>
          <w:p w:rsidR="00EB7645" w:rsidRPr="00BE00C7" w:rsidP="00BE00C7">
            <w:pPr>
              <w:pStyle w:val="OutcomeDescription"/>
              <w:spacing w:before="120" w:after="120"/>
              <w:rPr>
                <w:rFonts w:cs="Arial"/>
                <w:b w:val="0"/>
                <w:lang w:eastAsia="en-NZ"/>
              </w:rPr>
            </w:pPr>
            <w:r w:rsidRPr="00BE00C7">
              <w:rPr>
                <w:rFonts w:cs="Arial"/>
                <w:b w:val="0"/>
                <w:lang w:eastAsia="en-NZ"/>
              </w:rPr>
              <w:t>Where progress differs from that expected, care plans are amended accordingly. A short-term care plan is initiated for short term concerns, such as infections, wound care or changes in mobility.  Short term care plans sampled indicated the degree of risk noted during the assessment process. In interview, residents and family confirmed their involvement in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structural changes to the building since the last audit.  Trial evacuations are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CTL is the infection control nurse. There is a defined infection control programme. The surveillance programme is appropriate to the size and complexity of the organisation. Data on infections is recorded, monitored and measured. Monthly comparisons are maintained. Infection reports are a standing agenda item on the monthly quality and staff meetings. Policy guides reporting requirements in the event of an outbreak. Records sampled confirmed timely and appropriate actions are taken in the event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reflects the requirements of the restraint minimisation and safe practice standard. The service demonstrates that the use of restraint is actively minimised. The residents are free to wander round seven and a half acres of gardens. There are no locked doors and residents can enter or leave the building as they like. The perimeter of the grounds are entirely secure with double security gates on entry and exit.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any residents using physical restraints or enablers. Interviews with staff, residents and their family members confirm physical restraint and enablers are not being used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residents assessed as requiring rest home care requested to stay at the facility after rest home level of care changed to dementia level of care. These residents have consented to being cared in secure grounds as they did not want to leave the facility. Review of these residents’ files evidenced written consent records, requesting their desire to stay.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50"/>
        <w:gridCol w:w="1280"/>
        <w:gridCol w:w="4410"/>
        <w:gridCol w:w="1737"/>
        <w:gridCol w:w="20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staff appraisals were completed annually up until 2016, however there were no staff appraisals completed in the year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appraisal programme has not been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Conduct annual staff appraisals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 V and C D Hodson - Westella Homestead</w:t>
    </w:r>
    <w:bookmarkEnd w:id="58"/>
    <w:r>
      <w:rPr>
        <w:rFonts w:cs="Arial"/>
        <w:sz w:val="16"/>
        <w:szCs w:val="20"/>
      </w:rPr>
      <w:tab/>
      <w:t xml:space="preserve">Date of Audit: </w:t>
    </w:r>
    <w:bookmarkStart w:id="59" w:name="AuditStartDate1"/>
    <w:r>
      <w:rPr>
        <w:rFonts w:cs="Arial"/>
        <w:sz w:val="16"/>
        <w:szCs w:val="20"/>
      </w:rPr>
      <w:t>15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