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Kauri Coast Hospital &amp;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Kauri Coast Hospital &amp;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November 2017</w:t>
      </w:r>
      <w:bookmarkEnd w:id="7"/>
      <w:r w:rsidRPr="009418D4">
        <w:rPr>
          <w:rFonts w:cs="Arial"/>
        </w:rPr>
        <w:tab/>
        <w:t xml:space="preserve">End date: </w:t>
      </w:r>
      <w:bookmarkStart w:id="8" w:name="AuditEndDate"/>
      <w:r w:rsidR="00A4268A">
        <w:rPr>
          <w:rFonts w:cs="Arial"/>
        </w:rPr>
        <w:t>30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Kauri Coast is part of the Bupa aged care residential group. The service provides rest home and hospital level of care for up to 52 residents.  On the day of the audit there were 47 residents.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and staff. </w:t>
      </w:r>
    </w:p>
    <w:p w:rsidRPr="00A4268A">
      <w:pPr>
        <w:spacing w:before="240" w:line="276" w:lineRule="auto"/>
        <w:rPr>
          <w:rFonts w:eastAsia="Calibri"/>
        </w:rPr>
      </w:pPr>
      <w:r w:rsidRPr="00A4268A">
        <w:rPr>
          <w:rFonts w:eastAsia="Calibri"/>
        </w:rPr>
        <w:t>The care home manager is a registered nurse with considerable aged care experience and has been in the role for six months.  She is supported by clinical manager.  The team is supported by a regional operations manager.</w:t>
      </w:r>
    </w:p>
    <w:p w:rsidRPr="00A4268A">
      <w:pPr>
        <w:spacing w:before="240" w:line="276" w:lineRule="auto"/>
        <w:rPr>
          <w:rFonts w:eastAsia="Calibri"/>
        </w:rPr>
      </w:pPr>
      <w:r w:rsidRPr="00A4268A">
        <w:rPr>
          <w:rFonts w:eastAsia="Calibri"/>
        </w:rPr>
        <w:t>The residents and relatives spoke positively about the staff and the care and services provided at Kauri Coast</w:t>
      </w:r>
    </w:p>
    <w:p w:rsidRPr="00A4268A">
      <w:pPr>
        <w:spacing w:before="240" w:line="276" w:lineRule="auto"/>
        <w:rPr>
          <w:rFonts w:eastAsia="Calibri"/>
        </w:rPr>
      </w:pPr>
      <w:r w:rsidRPr="00A4268A">
        <w:rPr>
          <w:rFonts w:eastAsia="Calibri"/>
        </w:rPr>
        <w:t>Three of four previous findings have been addressed in relation to meeting minutes, interRAI assessments and restraint evaluations.</w:t>
      </w:r>
    </w:p>
    <w:p w:rsidRPr="00A4268A">
      <w:pPr>
        <w:spacing w:before="240" w:line="276" w:lineRule="auto"/>
        <w:rPr>
          <w:rFonts w:eastAsia="Calibri"/>
        </w:rPr>
      </w:pPr>
      <w:r w:rsidRPr="00A4268A">
        <w:rPr>
          <w:rFonts w:eastAsia="Calibri"/>
        </w:rPr>
        <w:t xml:space="preserve">Further improvements continue to be required around interventions. </w:t>
      </w:r>
    </w:p>
    <w:p w:rsidRPr="00A4268A">
      <w:pPr>
        <w:spacing w:before="240" w:line="276" w:lineRule="auto"/>
        <w:rPr>
          <w:rFonts w:eastAsia="Calibri"/>
        </w:rPr>
      </w:pPr>
      <w:r w:rsidRPr="00A4268A">
        <w:rPr>
          <w:rFonts w:eastAsia="Calibri"/>
        </w:rPr>
        <w:t xml:space="preserve">There were two areas for improvement identified at this audit around complaints and enabler consents.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Residents and family are well informed, including of changes in residents’ health.  The facility manager and clinical manager have an open-door policy.  Complaint forms and advocacy brochures are available. There is a current complaint register.  Learnings from complaints are shared with all staff.</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Bupa Kauri Coast has an established quality and risk management system that supports the provision of clinical care and support.  An annual resident/relative satisfaction survey is completed and there are regular resident/relative meetings. The facility is benchmarked against other Bupa facilities.  Incidents documented demonstrated immediate follow-up from a registered nurse.  There are human resources policies including recruitment, selection, orientation and staff training and development. The service has in place a comprehensive orientation programme that provides new staff with relevant information for safe work practice. The organisational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plans and reviews residents' needs, outcomes and goals with the resident and/or family/whānau input.  Care plans viewed in resident records were individualised and demonstrated service integration.  Care plans are evaluated at least six monthly.  InterRAI assessment timeframes had been met.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caregivers responsible for administration of medicines complete education and medication competencies.  The medicine charts reviewed met legislative prescribing requirements.     </w:t>
      </w:r>
    </w:p>
    <w:p w:rsidRPr="00A4268A" w:rsidP="00621629">
      <w:pPr>
        <w:spacing w:before="240" w:line="276" w:lineRule="auto"/>
        <w:rPr>
          <w:rFonts w:eastAsia="Calibri"/>
        </w:rPr>
      </w:pPr>
      <w:r w:rsidRPr="00A4268A">
        <w:rPr>
          <w:rFonts w:eastAsia="Calibri"/>
        </w:rPr>
        <w:t xml:space="preserve">An activity coordinator coordinates and implements the activity programme for the residents.  The programme includes community visitors, outings, entertainment and activities that meet the individual recreational, physical, cultural and cognitive abilities and preferences for each resident group including younger people.     </w:t>
      </w:r>
    </w:p>
    <w:p w:rsidRPr="00A4268A" w:rsidP="00621629">
      <w:pPr>
        <w:spacing w:before="240" w:line="276" w:lineRule="auto"/>
        <w:rPr>
          <w:rFonts w:eastAsia="Calibri"/>
        </w:rPr>
      </w:pPr>
      <w:r w:rsidRPr="00A4268A">
        <w:rPr>
          <w:rFonts w:eastAsia="Calibri"/>
        </w:rPr>
        <w:t xml:space="preserve">All meals and baking are done on-site.  Residents' food preferences and dietary requirements are identified at admission and accommodated.  The menu is reviewed by the dietitian.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There is a Bupa restraint policy that includes comprehensive restraint procedures including restraint minimisation. There is a documented definition of restraint and enablers that aligns with the definition in the standards.  There was one restraint and five enablers being used.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7"/>
        <w:gridCol w:w="1280"/>
        <w:gridCol w:w="101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care home manager using a complaint register.  Documentation including follow-up letters and resolution demonstrates that complaints are being managed.  Not all complaint responses were completed within the contractual timeframes in accordance with guidelines set forth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residents confirmed they were provided with information on complaints and complaints forms.  Complaints forms, and a suggestions box are in a visible location at the entrance to the facility.  Nine complaints received in 2017 and nine from 2016 were reviewed with evidence of appropriate follow-up actions taken. There has been one health and disability complaint which is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alert staff to their responsibility to notify family/next of kin of any accident/incident that occurs.  Accidents and incidents are entered onto the on-line reporting tool, Riskman.  Riskman have a section to indicate if family/whānau have been informed (or not) of an accident/incident.  Twelve accident/incident forms reviewed identified family are kept informed.  Six residents (three rest home and three hospital) interviewed, stated that they were welcomed on entry and were given time and explanation about the services and procedures.  No relatives visited on the day of audit.  An interpreter policy and contact details of interpreters is available and used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Kauri Coast is a Bupa residential care facility.  The service currently provides care for up to 52 residents at hospital and rest home levels of care.  On the day of the audit there were a total of 47 residents.  There were 15 rest home and 32 hospital level care residents. There were three hospital level residents under YPD contracts, two residents under respite contracts (one resident in the rest home and one in the hospital in a contracted DHB bed) and one on an ACC contract (hospital).  All other residents were under the aged related residential care (ARRC) contract.  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The manager at Kauri Coast is a registered nurse (RN) who has been in the care home manager (CHM) position since April 2017.  She previously worked as the clinical manager and registered nurse (RN) at the facility for a number of years. The care home manager is supported by a clinical manager (RN) who has been in the role since June 2017. The management team is supported by a facility unit coordinator (RN).  There are job descriptions for the management team that include responsibilities and accountabilities.   Bupa provides a comprehensive orientation and training/support programme for their managers.  Managers and clinical managers attend annual organisational forums and regional forums six monthly.  The care home manager and clinical manager have maintained at least eight hours annually of professional development activities related to managing a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Discussions with the managers and staff reflected staff involvement in quality and risk management processes.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document control system is in place.  Policies are regularly reviewed and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is comprehensive.  Quality and risk data, including trends in data and benchmarked results are discussed in the quality and applicable staff meetings. The previous finding around meeting minutes has been addressed.  An annual internal audit schedule was sighted for the service with evidence of internal audits occurring as per the audit schedule.  Corrective actions are established, implemented and are signed off when completed.  Caregivers and RNs interviewed were aware of the corrective actions and described receiving toolbox education sessions on pressure injury prevention, falls prevention, moving and handling, and skin care.</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goals are established and regularly reviewed.  Health and safety policies are implemented and monitored by the Health and Safety Committee.  Health and safety representatives (CHM and caregiver) were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The resident satisfaction survey for 2017 showed an overall improvement of 20% above the 2016 results.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the analysis of falls events and the identification of interventions on a case-by-case basis to minimise future falls.  Falls prevention equipment includes sensor mats and chair alarms.  Workplace safety strategies include moving and handling champions and provision of additional sliding sheet resources for residents who require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Twelve accident/incident forms were reviewed for October 2017.  Each event involving a resident reflected a clinical assessment and follow-up by a RN.  Neurological observations are conducted for unwitnessed falls.  Data collected on incident and accident forms are linked to the quality management system.  The care home manager and clinical manager are aware of their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reviewed (one clinical manager, one RN, one caregiver, one cook and one activities officer) all documented a recruitment process, signed employment contracts, job descriptions, appraisals and completed orientation programmes.  A register of registered nursing staff and other health practitioner practising certificates is maintained.  The orientation programme provides new staff with relevant information for safe work practice.  The service has a comprehensive orientation programme in place that provides new staff with relevant information for safe work practice.  The orientation programme is developed specifically to worker type (e.g., RN, support staff) and includes documented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Registered nurses are supported to maintain their professional competency.  Eight RNs are employed and six have completed their interRAI training.  There are implemented competencies for RNs including (but not limited to) medication competencies, assessment tools, BSLs/Insulin admin, CD admin, moving &amp; handling, nebuliser, oxygen admin, PEG tube care/feeds, restraint, wound management, CPR and syringe driver.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and includes skill mixes.  There is a roster that provides sufficient and appropriate coverage for the effective delivery of care and support.  There is a full-time care home manager and clinical manager/RN who work from Monday to Friday.  Registered nurse cover is provided 24 hours a day, 7 days a week.  Registered nurses are supported by sufficient numbers of caregivers.  Separate laundry and cleaning staff are employed seven days a week.  Interviews with the residents confirmed staffing overall was satisfactory.  Interviews with two caregivers (morning shift) confirmed that staffing numbers were satisfactory.</w:t>
            </w:r>
          </w:p>
          <w:p w:rsidR="00EB7645" w:rsidRPr="00BE00C7" w:rsidP="00BE00C7">
            <w:pPr>
              <w:pStyle w:val="OutcomeDescription"/>
              <w:spacing w:before="120" w:after="120"/>
              <w:rPr>
                <w:rFonts w:cs="Arial"/>
                <w:b w:val="0"/>
                <w:lang w:eastAsia="en-NZ"/>
              </w:rPr>
            </w:pPr>
            <w:r w:rsidRPr="00BE00C7">
              <w:rPr>
                <w:rFonts w:cs="Arial"/>
                <w:b w:val="0"/>
                <w:lang w:eastAsia="en-NZ"/>
              </w:rPr>
              <w:t>St Joseph Hospital wings (22 beds)– includes a dedicated respite room.  Current occupancy 20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AM shift – unit coordinator (RN) 0800-1600</w:t>
            </w:r>
          </w:p>
          <w:p w:rsidR="00EB7645" w:rsidRPr="00BE00C7" w:rsidP="00BE00C7">
            <w:pPr>
              <w:pStyle w:val="OutcomeDescription"/>
              <w:spacing w:before="120" w:after="120"/>
              <w:rPr>
                <w:rFonts w:cs="Arial"/>
                <w:b w:val="0"/>
                <w:lang w:eastAsia="en-NZ"/>
              </w:rPr>
            </w:pPr>
            <w:r w:rsidRPr="00BE00C7">
              <w:rPr>
                <w:rFonts w:cs="Arial"/>
                <w:b w:val="0"/>
                <w:lang w:eastAsia="en-NZ"/>
              </w:rPr>
              <w:t>1 X RN 0700- 1515</w:t>
            </w:r>
          </w:p>
          <w:p w:rsidR="00EB7645" w:rsidRPr="00BE00C7" w:rsidP="00BE00C7">
            <w:pPr>
              <w:pStyle w:val="OutcomeDescription"/>
              <w:spacing w:before="120" w:after="120"/>
              <w:rPr>
                <w:rFonts w:cs="Arial"/>
                <w:b w:val="0"/>
                <w:lang w:eastAsia="en-NZ"/>
              </w:rPr>
            </w:pPr>
            <w:r w:rsidRPr="00BE00C7">
              <w:rPr>
                <w:rFonts w:cs="Arial"/>
                <w:b w:val="0"/>
                <w:lang w:eastAsia="en-NZ"/>
              </w:rPr>
              <w:t>2 x caregivers 0700 – 1500, 1 caregiver 0700 – 1330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shift </w:t>
            </w:r>
          </w:p>
          <w:p w:rsidR="00EB7645" w:rsidRPr="00BE00C7" w:rsidP="00BE00C7">
            <w:pPr>
              <w:pStyle w:val="OutcomeDescription"/>
              <w:spacing w:before="120" w:after="120"/>
              <w:rPr>
                <w:rFonts w:cs="Arial"/>
                <w:b w:val="0"/>
                <w:lang w:eastAsia="en-NZ"/>
              </w:rPr>
            </w:pPr>
            <w:r w:rsidRPr="00BE00C7">
              <w:rPr>
                <w:rFonts w:cs="Arial"/>
                <w:b w:val="0"/>
                <w:lang w:eastAsia="en-NZ"/>
              </w:rPr>
              <w:t>1 X RN am shift X 7 days, 0700- 1515</w:t>
            </w:r>
          </w:p>
          <w:p w:rsidR="00EB7645" w:rsidRPr="00BE00C7" w:rsidP="00BE00C7">
            <w:pPr>
              <w:pStyle w:val="OutcomeDescription"/>
              <w:spacing w:before="120" w:after="120"/>
              <w:rPr>
                <w:rFonts w:cs="Arial"/>
                <w:b w:val="0"/>
                <w:lang w:eastAsia="en-NZ"/>
              </w:rPr>
            </w:pPr>
            <w:r w:rsidRPr="00BE00C7">
              <w:rPr>
                <w:rFonts w:cs="Arial"/>
                <w:b w:val="0"/>
                <w:lang w:eastAsia="en-NZ"/>
              </w:rPr>
              <w:t>2 x caregivers 0700 – 1500, 1 caregiver 0700 – 1330</w:t>
            </w:r>
          </w:p>
          <w:p w:rsidR="00EB7645" w:rsidRPr="00BE00C7" w:rsidP="00BE00C7">
            <w:pPr>
              <w:pStyle w:val="OutcomeDescription"/>
              <w:spacing w:before="120" w:after="120"/>
              <w:rPr>
                <w:rFonts w:cs="Arial"/>
                <w:b w:val="0"/>
                <w:lang w:eastAsia="en-NZ"/>
              </w:rPr>
            </w:pPr>
            <w:r w:rsidRPr="00BE00C7">
              <w:rPr>
                <w:rFonts w:cs="Arial"/>
                <w:b w:val="0"/>
                <w:lang w:eastAsia="en-NZ"/>
              </w:rPr>
              <w:t>1 x RN 1500 -2315</w:t>
            </w:r>
          </w:p>
          <w:p w:rsidR="00EB7645" w:rsidRPr="00BE00C7" w:rsidP="00BE00C7">
            <w:pPr>
              <w:pStyle w:val="OutcomeDescription"/>
              <w:spacing w:before="120" w:after="120"/>
              <w:rPr>
                <w:rFonts w:cs="Arial"/>
                <w:b w:val="0"/>
                <w:lang w:eastAsia="en-NZ"/>
              </w:rPr>
            </w:pPr>
            <w:r w:rsidRPr="00BE00C7">
              <w:rPr>
                <w:rFonts w:cs="Arial"/>
                <w:b w:val="0"/>
                <w:lang w:eastAsia="en-NZ"/>
              </w:rPr>
              <w:t>-3 caregivers (2 long,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Night shift</w:t>
            </w:r>
          </w:p>
          <w:p w:rsidR="00EB7645" w:rsidRPr="00BE00C7" w:rsidP="00BE00C7">
            <w:pPr>
              <w:pStyle w:val="OutcomeDescription"/>
              <w:spacing w:before="120" w:after="120"/>
              <w:rPr>
                <w:rFonts w:cs="Arial"/>
                <w:b w:val="0"/>
                <w:lang w:eastAsia="en-NZ"/>
              </w:rPr>
            </w:pPr>
            <w:r w:rsidRPr="00BE00C7">
              <w:rPr>
                <w:rFonts w:cs="Arial"/>
                <w:b w:val="0"/>
                <w:lang w:eastAsia="en-NZ"/>
              </w:rPr>
              <w:t>1 x RN and 1 caregiver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Laura Ambury 30 beds (dual purpose)- current occupancy 12 hospital and 15 rest home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AM shift</w:t>
            </w:r>
          </w:p>
          <w:p w:rsidR="00EB7645" w:rsidRPr="00BE00C7" w:rsidP="00BE00C7">
            <w:pPr>
              <w:pStyle w:val="OutcomeDescription"/>
              <w:spacing w:before="120" w:after="120"/>
              <w:rPr>
                <w:rFonts w:cs="Arial"/>
                <w:b w:val="0"/>
                <w:lang w:eastAsia="en-NZ"/>
              </w:rPr>
            </w:pPr>
            <w:r w:rsidRPr="00BE00C7">
              <w:rPr>
                <w:rFonts w:cs="Arial"/>
                <w:b w:val="0"/>
                <w:lang w:eastAsia="en-NZ"/>
              </w:rPr>
              <w:t>Team leader (RN or senior caregiver) 0700 - 1515</w:t>
            </w:r>
          </w:p>
          <w:p w:rsidR="00EB7645" w:rsidRPr="00BE00C7" w:rsidP="00BE00C7">
            <w:pPr>
              <w:pStyle w:val="OutcomeDescription"/>
              <w:spacing w:before="120" w:after="120"/>
              <w:rPr>
                <w:rFonts w:cs="Arial"/>
                <w:b w:val="0"/>
                <w:lang w:eastAsia="en-NZ"/>
              </w:rPr>
            </w:pPr>
            <w:r w:rsidRPr="00BE00C7">
              <w:rPr>
                <w:rFonts w:cs="Arial"/>
                <w:b w:val="0"/>
                <w:lang w:eastAsia="en-NZ"/>
              </w:rPr>
              <w:t>3 x caregivers (2 long,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PM Shift</w:t>
            </w:r>
          </w:p>
          <w:p w:rsidR="00EB7645" w:rsidRPr="00BE00C7" w:rsidP="00BE00C7">
            <w:pPr>
              <w:pStyle w:val="OutcomeDescription"/>
              <w:spacing w:before="120" w:after="120"/>
              <w:rPr>
                <w:rFonts w:cs="Arial"/>
                <w:b w:val="0"/>
                <w:lang w:eastAsia="en-NZ"/>
              </w:rPr>
            </w:pPr>
            <w:r w:rsidRPr="00BE00C7">
              <w:rPr>
                <w:rFonts w:cs="Arial"/>
                <w:b w:val="0"/>
                <w:lang w:eastAsia="en-NZ"/>
              </w:rPr>
              <w:t>Team leader (RN or senior caregiver) 1500- 2315</w:t>
            </w:r>
          </w:p>
          <w:p w:rsidR="00EB7645" w:rsidRPr="00BE00C7" w:rsidP="00BE00C7">
            <w:pPr>
              <w:pStyle w:val="OutcomeDescription"/>
              <w:spacing w:before="120" w:after="120"/>
              <w:rPr>
                <w:rFonts w:cs="Arial"/>
                <w:b w:val="0"/>
                <w:lang w:eastAsia="en-NZ"/>
              </w:rPr>
            </w:pPr>
            <w:r w:rsidRPr="00BE00C7">
              <w:rPr>
                <w:rFonts w:cs="Arial"/>
                <w:b w:val="0"/>
                <w:lang w:eastAsia="en-NZ"/>
              </w:rPr>
              <w:t>2x caregivers 1500 -2200 and 1530 – 2030</w:t>
            </w:r>
          </w:p>
          <w:p w:rsidR="00EB7645" w:rsidRPr="00BE00C7" w:rsidP="00BE00C7">
            <w:pPr>
              <w:pStyle w:val="OutcomeDescription"/>
              <w:spacing w:before="120" w:after="120"/>
              <w:rPr>
                <w:rFonts w:cs="Arial"/>
                <w:b w:val="0"/>
                <w:lang w:eastAsia="en-NZ"/>
              </w:rPr>
            </w:pPr>
            <w:r w:rsidRPr="00BE00C7">
              <w:rPr>
                <w:rFonts w:cs="Arial"/>
                <w:b w:val="0"/>
                <w:lang w:eastAsia="en-NZ"/>
              </w:rPr>
              <w:t>Night shift</w:t>
            </w:r>
          </w:p>
          <w:p w:rsidR="00EB7645" w:rsidRPr="00BE00C7" w:rsidP="00BE00C7">
            <w:pPr>
              <w:pStyle w:val="OutcomeDescription"/>
              <w:spacing w:before="120" w:after="120"/>
              <w:rPr>
                <w:rFonts w:cs="Arial"/>
                <w:b w:val="0"/>
                <w:lang w:eastAsia="en-NZ"/>
              </w:rPr>
            </w:pPr>
            <w:r w:rsidRPr="00BE00C7">
              <w:rPr>
                <w:rFonts w:cs="Arial"/>
                <w:b w:val="0"/>
                <w:lang w:eastAsia="en-NZ"/>
              </w:rPr>
              <w:t>Enrolled nurse (or senior caregiver) and one caregiver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Staff who administer medications (RNs and senior caregivers) have been assessed for competency on an annual basis.  Registered nurses have completed syringe driver training.  Education around safe medication administration has been provided annually.  There is evidence of medication reconciliation on delivery of medications (robotic rolls).  The medication fridge is checked daily and temperatures recorded are maintained within the acceptable temperature range.  All eye drops were dated on opening.  Standing orders are not used.  There were no self-medicating residents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on the electronic medication system were reviewed.  All medication charts met prescribing legislative requirements for regular and ‘as required’ medications.  All medication charts had photo identification and allergy status documented on the chart. The administration sheets corresponded with the medication charts.  The medications charts evidenced three monthly GP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on-site a qualified head cook and second cook who cover the seven-day week.  They are supported by kitchenhands.  All staff have completed food safety training.  The organisational four-weekly seasonal menu has been reviewed by the company dietitian.  The menu has a vegetarian option and diabetic desserts.  Modified meals are provided.  The daily menu is displayed.  An alternative menu and options are displayed for residents with dislikes. The cook receives a resident nutritional requirement form and is notified of any dietary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 cooked meat temperatures are taken and recorded daily.  Perishable foods sighted in the fridges were date labelled.  The dishwasher is checked regularly by the chemical supplier.  Staff have received training in chemical safety.  Chemicals are stored safely.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nurse specialist consultation.  There was documented evidence that family members were notified of any changes to their relative’s health status.  Changes to resident health and required supports is updated on the care plans.  A review of five files identified that not all interventions had been documented for all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and treatment forms, ongoing evaluation form and evaluation notes were in place for six hospital and two rest home residents with wounds.  There was one hospital respite care resident with a stage three community acquired pressure injury on the day of audit.  Photos demonstrate progress towards healing.  The district nursing service is available as required for advice on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to provide an integrated rest home and hospital activity programme Monday to Friday from 8.00 am to 3.30 pm.  A volunteer assists with the activities three days a week including bingo, bowls, board and word games and knitting club. There are regular musical entertainers and visitors to the facility including school choirs, school children and babies and visitors with their dogs. There are twice weekly outings to places of interest, shops and cafés, picnics, community functions and inter-home bowls competitions.  One-on-one activities occur such as individual walks, reading and chats and nail/hand care for residents who are unable or choose not to be involved in group activities.  Individual activities are identified for residents under 65 years of age and residents are supported and encouraged to attend community activities of their choice.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community links such as library visits, shopping outings into the community.  Church services are held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Map of Life is completed on admission.  Socialising and activities is included in the My Day, My Way care plan.  The activity coordinator is involved in the six-monthly MDT review. The service receives feedback and suggestions for the programme through surveys and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The long-term care plans had been reviewed by the multidisciplinary team (MDT) at least six monthly or earlier for any health changes against the resident goals as being met or unmet.  Family are invited to attend the MDT review and informed of any changes if unable to attend.  The GP reviews the residents at least three monthly or earlier if required.  Ongoing nursing evaluations occur as indicated and are documented within the progress notes and are evident in changes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3 March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Internal infection control audits also assist the service in evaluating infection control needs.  Systems in place are appropriate to the size and complexity of the facility. Effective monitoring is the responsibility of the infection control coordinator.  Surveillance data is available to all staff.  Infections statistics are included for benchmarking.  Corrective actions are established where trends are identified.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Enablers are assessed as required for maintaining safety and independence and are used voluntarily by the residents.  There is one hospital resident requiring the use of restraint (bed rail).  There are five hospital residents requiring the use of an enabler (bedrails). Use of an enabler is voluntary.  An assessment for restraint/enabler use and consent forms are completed in the restraint file.  Not all enabler files identified the resident was able to give voluntary consent.  The care plans reviewed document the use of enabler or restraint but not all care plans contain appropriate interventions (link 1.3.6.1).  Kauri Coast has a restraint coordinator who oversees all restraint.  Restraint education and audits have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62"/>
        <w:gridCol w:w="1280"/>
        <w:gridCol w:w="6723"/>
        <w:gridCol w:w="2480"/>
        <w:gridCol w:w="13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complaints are documented on a monthly complaint register.  All complaints evidenced investigation including interviews and review of documentation.  Where indicated corrective actions were documented and included (but not limited to) staff training, food surveys, care reviews, communication memos and newsletters.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(i)Four of 18 complaints initial responses were either not dated or responses were outside timeframes as set out in code 10 of the HDC Code of Rights.  (ii)  Six of 18 investigation outcomes were either not documented or outside expected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initial responses and follow-up outcomes are responded to and meet code 10 of the HDC code of rights.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Care staff interviewed were knowledgeable about the resident supports and needs.  Documentation sighted described interventions for the management of pain, pressure injury prevention, and behaviour management and this is an improvement on the previous audit.  However, not all interventions had been documented in regard to enabler use and GP request for monitoring.  Monitoring occurs for weight, vital signs, blood sugar levels, pain, challenging behaviour, repositioning charts and food and fluid charts. Monitoring forms in place had been completed and reviewed by the 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 associated risks of enabler use had not been documented for four of five residents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2) There were no documented interventions for one hospital resident requiring monitoring of oedematous legs as per GP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Ensure risks of enabler use are documented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Ensure GP requests for monitoring are documented and followed up.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using restraint and enablers have pre-assessments completed and consent forms are on file.  Reviews are completed three monthly.  Residents are monitored while restraints and enablers are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four residents using enablers did not evidence voluntary consent.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 using enablers are appropriately assessed and able to voluntarily consent to the use of an enabler.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Kauri Coast Hospital &amp; Rest Home</w:t>
    </w:r>
    <w:bookmarkEnd w:id="58"/>
    <w:r>
      <w:rPr>
        <w:rFonts w:cs="Arial"/>
        <w:sz w:val="16"/>
        <w:szCs w:val="20"/>
      </w:rPr>
      <w:tab/>
      <w:t xml:space="preserve">Date of Audit: </w:t>
    </w:r>
    <w:bookmarkStart w:id="59" w:name="AuditStartDate1"/>
    <w:r>
      <w:rPr>
        <w:rFonts w:cs="Arial"/>
        <w:sz w:val="16"/>
        <w:szCs w:val="20"/>
      </w:rPr>
      <w:t>29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