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Little Sisters of The Poor Aged Care New Zealand Limited - St Joseph's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Little Sisters of The Poor Aged Care New Zealand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Joseph's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December 2017</w:t>
      </w:r>
      <w:bookmarkEnd w:id="7"/>
      <w:r w:rsidRPr="009418D4">
        <w:rPr>
          <w:rFonts w:cs="Arial"/>
        </w:rPr>
        <w:tab/>
        <w:t xml:space="preserve">End date: </w:t>
      </w:r>
      <w:bookmarkStart w:id="8" w:name="AuditEndDate"/>
      <w:r w:rsidR="00A4268A">
        <w:rPr>
          <w:rFonts w:cs="Arial"/>
        </w:rPr>
        <w:t>11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Joseph’s Home and Hospital provides care for up to 31 residents requiring hospital (geriatric and medical) and rest home level care.  On the day of the audit, there were 30 residents.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service is overseen by a manager, who is a Sister and is well qualified and experienced for the role and is supported by an experienced nurse manager. Residents and family interviewed spoke positively about the service provided.</w:t>
      </w:r>
    </w:p>
    <w:p w:rsidRPr="00A4268A">
      <w:pPr>
        <w:spacing w:before="240" w:line="276" w:lineRule="auto"/>
        <w:rPr>
          <w:rFonts w:eastAsia="Calibri"/>
        </w:rPr>
      </w:pPr>
      <w:r w:rsidRPr="00A4268A">
        <w:rPr>
          <w:rFonts w:eastAsia="Calibri"/>
        </w:rPr>
        <w:t>The service has addressed the one shortfall from their previous certification audit around restraint monitoring.</w:t>
      </w:r>
    </w:p>
    <w:p w:rsidRPr="00A4268A">
      <w:pPr>
        <w:spacing w:before="240" w:line="276" w:lineRule="auto"/>
        <w:rPr>
          <w:rFonts w:eastAsia="Calibri"/>
        </w:rPr>
      </w:pPr>
      <w:r w:rsidRPr="00A4268A">
        <w:rPr>
          <w:rFonts w:eastAsia="Calibri"/>
        </w:rPr>
        <w:t xml:space="preserve">This surveillance audit identified improvements required around open disclosure documentation, service delivery interventions, medication management and nutritional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Families and residents interviewed reported that communication is adequate to meet their needs.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and goals.  Quality activities are conducted, and these generate improvements in practice and service delivery.  Meetings are held to discuss quality and risk management processes.  Health and safety policies, systems and processes are implemented to manage risk.  Incidents and accidents are reported and managed appropriately.  </w:t>
      </w:r>
    </w:p>
    <w:p w:rsidRPr="00A4268A">
      <w:pPr>
        <w:spacing w:before="240" w:line="276" w:lineRule="auto"/>
        <w:rPr>
          <w:rFonts w:eastAsia="Calibri"/>
        </w:rPr>
      </w:pPr>
      <w:r w:rsidRPr="00A4268A">
        <w:rPr>
          <w:rFonts w:eastAsia="Calibri"/>
        </w:rPr>
        <w:t xml:space="preserve">Input from residents and families are regularly sought.  An education and training programme has been established with a current training plan in place.  Appropriate employment processes are adhered to and all employees have an annual staff appraisal completed.  </w:t>
      </w:r>
    </w:p>
    <w:p w:rsidRPr="00A4268A">
      <w:pPr>
        <w:spacing w:before="240" w:line="276" w:lineRule="auto"/>
        <w:rPr>
          <w:rFonts w:eastAsia="Calibri"/>
        </w:rPr>
      </w:pPr>
      <w:r w:rsidRPr="00A4268A">
        <w:rPr>
          <w:rFonts w:eastAsia="Calibri"/>
        </w:rPr>
        <w:t xml:space="preserve">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medication policies and procedures documented.  Each resident is reviewed at least three-monthly by their general practitioner.  A range of individual and group activities is available and coordinated by the activity team.  All meals are prepared on-site.  There is a seasonal menu in place, which is reviewed by a dietitian.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 Joseph’s has restraint minimisation and safe practice policies and procedures in place.  Staff receive training in restraint minimisation and challenging behaviour management.  On the day of audit, there were nine residents with restraint and six residents with an enabler.  Restraint management processes are adhered.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residents and families demonstrated their understanding of the complaints process.  They confirmed that any issues are addressed, and they feel comfortable to bring up any concerns.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staff interviewed (three registered nurses (RNs), three caregivers, one cook, two activities staff) were able to describe the process around reporting complaints.  The complaints process is linked to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Verbal and written complaints are recorded in a complaints register.  There were three complaints logged in the register for 2017 (year to date).  All documentation pertaining to each complaint was reviewed.  Complaints lodged had a noted investigation. Timeframes determined by the Health and Disability Commissioner (HDC) were met, and corrective actions and resolutions were in place if required.  Results are fed back to complainants.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(two rest home and three hospital) stated they were welcomed on entry and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Incident/accident forms reviewed identified that family notification is not consistently being documented.  Two relatives interviewed (hospital level) confirmed that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required.  Staff and families are used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Joseph’s is owned and operated by the Little Sisters of the Poor.  The service provides rest home and hospital level (geriatric and medical) care for up to 31 residents.  On the day of the audit, there were 30 residents (3 rest home level and 27 hospital level).  All were under the age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dual-purpose.  The facility manager is a sister of the order and has many years’ experience in aged care management.  She is supported by a nurse manager/RN who has been in her role for 18 months and has five years of management experience in aged care.  </w:t>
            </w:r>
          </w:p>
          <w:p w:rsidR="00EB7645" w:rsidRPr="00BE00C7" w:rsidP="00BE00C7">
            <w:pPr>
              <w:pStyle w:val="OutcomeDescription"/>
              <w:spacing w:before="120" w:after="120"/>
              <w:rPr>
                <w:rFonts w:cs="Arial"/>
                <w:b w:val="0"/>
                <w:lang w:eastAsia="en-NZ"/>
              </w:rPr>
            </w:pPr>
            <w:r w:rsidRPr="00BE00C7">
              <w:rPr>
                <w:rFonts w:cs="Arial"/>
                <w:b w:val="0"/>
                <w:lang w:eastAsia="en-NZ"/>
              </w:rPr>
              <w:t>St Joseph’s has a business/strategic plan and a quality and risk management programme in place.  The organisation has a philosophy of care, which includes a mission statement.  The managers have each completed a minimum of eight hours of professional development over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quality goals and risk management plans.  Interviews with the managers and staff and the review of meeting minutes confirmed that quality data is discussed at staff meetings. The quality and risk management programme is designed to monitor contractual and standards compliance.  </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policies are reviewed at least every two years.  Staff have access to policies and procedures.  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Residents are surveyed to gather feedback on the service provided and the outcomes are communicated to residents, staff and families.  Survey results for 2017 indicated a high level of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 registered nurse conducts a clinical follow-up of each adverse event.  The nurse manager investigates all accidents and near misses and analysis of incident trends occurs.  There is a discussion of incidents/accidents at staff meetings including actions to minimise recurrence.  Twenty-six incident forms reviewed for 2017 demonstrated that appropriate clinical follow-up and investigation occurred following incidents.  Missing was consistent evidence that family had been informed (link 1.1.9.1).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nurse manager confirmed that there is an awareness of the requirement to notify relevant authorities in relation to essential notifications.  This has not been required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are completed to validate the individual’s qualifications, experience and veracity.  A copy of practising certificates is kept.  Five staff files were reviewed (two registered nurses and three caregivers) and there is evidence that reference checks were completed before employment is offered.  The service has a comprehensive orientation programme in place that provides new staff with relevant information for safe work practice.  The in-service education programme for 2017 is being implemented. A staff training plan is in place that exceeds eight hours per year.  Attendance at in-service training is below average and the service is working on this. The registered nurses are able to attend external training, including sessions provided by the local DHB. Five of eight RNs attended a study day by the DHB on 24 Nov 2017.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includes staff rationale and skill mix.  Sufficient staff are rostered on to manage the care requirements of the residents.  The nurse manager is available four days a week.</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registered nurse on at any one time.  Two staff RNs cover in the absence of the nurse manager (Wednesdays) and during Dr rounds (Tuesdays).  Five caregivers are scheduled for the am shift, two for the pm shift and one for the night shift.  Agency staff are used when required to fill vacancies.  Activities staff are available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with photo identification and allergy status documented.  The service uses a four-weekly package system for tablets and other medicines are pharmacy packaged.  All medicines are stored securely when not in use.  A verification check is completed by the RN against the resident’s medicine order when new medicines are supplied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orders did not always include ‘indications for use’ of ‘as required’ medicines and short-term medications do not always have a stop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was observed administering medications and followed correct procedures.  A review of the medication trolley found that one medication dispensed for one resident was being administered to another.  Short-life medications (i.e.,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Education on medication management has occurred with competencies conducted for the registered nurse with medication administration responsibilities.  Ten medication charts reviewed identified that the GP had seen the resident three-monthly and the medication chart was signed each time a medicine was administered by staff.  No residents self-administer medicines.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chef and one kitchen hand Monday to Friday and one cook and one kitchen hand at the weekend.  All have current food safety certificates.  The weekday chef oversees the procurement of the food and management of the kitchen.  There is a well-equipped kitchen and all meals are cooked onsite.  Meals are served from bain maries in the dining rooms.  Special equipment such as lipped plates is available.  On the day of audit, meals were hot and well presented.  There is a kitchen manual and a range of policies and procedures to safely manage the kitchen and meal services.  Audits and resident satisfactions surveys are implemented to monitor performance.  Kitchen fridge, food and freezer temperatures were monitored and recorded weekly.  These were all within safe limits.  The residents have a nutritional profile developed on admission that identifies dietary requirements and likes and dislikes.  Changes to residents’ dietary needs are not always communicated to the kitchen.  Special diets, and likes and dislikes were noted in a kitchen folder.  An external dietitian has audited and approved the menus.  Residents and families interviewed were very happy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delivery is guided by inter-shift handovers and the resident’s plan of care.  Care plans sampled were goal orientated and reviewed at six monthly intervals (for long-term residents).  The interRAI assessment process informs the development of the care plan, however not all triggers from the interRAI assessment were fully covered in care plans and care plans did not include all information to guide caregivers.  The shortfall identified at their previous audit remains an area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stated that they have sufficient equipment and supplies to provide care.  Resident weights were noted to be monitored monthly or more frequently if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identified wounds at the time of the audit including two grade two pressure injuries (one facility-acquired and one non-facility acquired).  Assessments, management plans and documented reviews were in place for all wounds; however, there was no interventions to guide carers in either long-term or short-term care plan format around the current skin integrity needs.  </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three days during the week to assist with mobility assessments and the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their satisfaction with care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staff (one sister works full-time, and one activities coordinator works part-time) who lead the planning and delivery of the individual and group activities programme with assistance from staff.  There are organised activities for five days a week plus films on Saturdays.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 activities are provided in a communal room, in seating areas and outdoors in the gardens when weather permits.  Group activities are varied to meet the needs of both higher functioning residents and those that require more assistance.  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The group activities programme is developed monthly, and a copy of the programme is available to all residents and families.  The group programme includes; daily Mass, concerts, scenic drives, hair dressing, exercises lead by the physio, school visits and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newly admitted is assessed on or soon after admission.  This information is then used to develop a diversional therapy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praised the activity staff and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reassessed using the interRAI process at least six-monthly or if there has been a significant change in their health status.  Care plan evaluations are signed as completed by the RN.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and had been evaluated and closed or transferred to the long-term care plan if required.  (Link to 1.3.6.1 for wound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8 April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continues to be an integral part of the infection control programme and is described in the infection control manual.  Monthly infection data is collected for all infections based on signs and symptoms of infection.  Surveillance of all infections is entered onto a monthly infection summary.  This data is monitored and evaluated monthly and annually.  Outcomes and actions are discussed at staff meetings.  If there is an emergent issue, it is acted-upon in a timely manner.  Reports are easily accessible to the nurse manager and RNs.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nine residents with restraint and six residents with an enabler.  A registered nurse is the designated restraint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enabler file was reviewed.  It was documented that enabler use was voluntary with consent provided by the resident.  All necessary documentation had been completed in relation to the enabler.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 guidance has been given on restraint minimisation and safe practice (RMSP), enabler usage and prevention and/or de-escalation techniques.  Education on RMSP/enablers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put in place only where it is clinically indicated and justified.  A restraint register is maintained.</w:t>
            </w:r>
          </w:p>
          <w:p w:rsidR="00EB7645" w:rsidRPr="00BE00C7" w:rsidP="00BE00C7">
            <w:pPr>
              <w:pStyle w:val="OutcomeDescription"/>
              <w:spacing w:before="120" w:after="120"/>
              <w:rPr>
                <w:rFonts w:cs="Arial"/>
                <w:b w:val="0"/>
                <w:lang w:eastAsia="en-NZ"/>
              </w:rPr>
            </w:pPr>
            <w:r w:rsidRPr="00BE00C7">
              <w:rPr>
                <w:rFonts w:cs="Arial"/>
                <w:b w:val="0"/>
                <w:lang w:eastAsia="en-NZ"/>
              </w:rPr>
              <w:t>A restraint assessment is completed for all residents using restraints and enablers.  Two residents’ files reviewed with restraint in use (bedsides and lap belts) included restraint assessments that identified any associated risks.  The corresponding care plans also indicated restraint use.  Monitoring forms reflected regular monitoring at the frequency determined by the risk level.  This previously identified shortfall is now being met by the service.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3"/>
        <w:gridCol w:w="1280"/>
        <w:gridCol w:w="3683"/>
        <w:gridCol w:w="4462"/>
        <w:gridCol w:w="20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that communication occurs in an open and transparent manner.  The accident and incident form includes information regarding families being contacted following an adverse event.  This was not being completed by staff in a consistent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Fifteen of twenty-six accident/incident forms reviewed did not include information that family had been contacted following an adverse event.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accident/incident form contains evidence of family being contacted (or if not, an explanation why they were not contacted).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ensure that staff are given correct guidance for the management, storage and documentation of medication.  Shortfalls were identified around medication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(i)Eight of ten medication charts reviewed did not include a ‘stop date’ for short-term medication.  For one resident this meant that eye medication charted for one week, with a further week charted if needed, had been administered for a month.  (ii) Five of ten medication charts did not include indications for use of ‘as required’ medicines and (iii) one eye medication dispensed for one resident was being administered to another resident (who was also prescribed this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short-term medications have a documented ‘stop date’.  (ii) Ensure that ‘as required’ medications include indications for use and (iii) ensure that medications prescribed are administered to that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nutritional profile developed on admission, which identifies their dietary requirements, likes and dislikes.  This profile is reviewed six monthly as part of their care plan review.  Changes to residents’ dietary needs are not always communicated to the kitchen staff.  Special diets can be catered for and alternative meals can be accommodated if needed.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Nutritional needs as stated in the care plans was not documented as communicated to the kitchen.  Three of five care plan’s nutrition information did not match the information documented in the kitchen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kitchen is aware of the nutritional needs of the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provided to residents was of a high standard as agreed by relatives and resents interviewed and also observation.  Staff interviewed were very knowledgeable regarding the care and support needs of individual residents.  All resident had a current care plan in place, but care plans did not include the detail needed to ensure care documented was personalised and addressed all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(1)For hospital level care: (i) two residents with wounds did not have the interventions documented around the current skin integrity issues, (ii) two residents with increasing behavioural issues did not have de-escalation interventions documented in sufficient detail to guide staff.  (iii) Interventions were not documented for one resident in relation to risks associated with warfarin.</w:t>
            </w:r>
          </w:p>
          <w:p w:rsidR="00EB7645" w:rsidRPr="00BE00C7" w:rsidP="00BE00C7">
            <w:pPr>
              <w:pStyle w:val="OutcomeDescription"/>
              <w:spacing w:before="120" w:after="120"/>
              <w:rPr>
                <w:rFonts w:cs="Arial"/>
                <w:b w:val="0"/>
                <w:lang w:eastAsia="en-NZ"/>
              </w:rPr>
            </w:pPr>
            <w:r w:rsidRPr="00BE00C7">
              <w:rPr>
                <w:rFonts w:cs="Arial"/>
                <w:b w:val="0"/>
                <w:lang w:eastAsia="en-NZ"/>
              </w:rPr>
              <w:t>(2)For rest home level: (i) One resident did not have interventions documented for; high falls risk, use of oxygen, a sensor mat and blindness.  (ii) One resident did not have interventions for personal privacy (identified as a particular issue) and the use of heel protectors.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document the care and support needed to provide care for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Little Sisters of The Poor Aged Care New Zealand Limited - St Joseph's</w:t>
    </w:r>
    <w:bookmarkEnd w:id="58"/>
    <w:r>
      <w:rPr>
        <w:rFonts w:cs="Arial"/>
        <w:sz w:val="16"/>
        <w:szCs w:val="20"/>
      </w:rPr>
      <w:tab/>
      <w:t xml:space="preserve">Date of Audit: </w:t>
    </w:r>
    <w:bookmarkStart w:id="59" w:name="AuditStartDate1"/>
    <w:r>
      <w:rPr>
        <w:rFonts w:cs="Arial"/>
        <w:sz w:val="16"/>
        <w:szCs w:val="20"/>
      </w:rPr>
      <w:t>11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