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Lara Lodge 2017 Limited - Lara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Lara Lodge 2017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Lara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2018</w:t>
      </w:r>
      <w:bookmarkEnd w:id="7"/>
      <w:r w:rsidRPr="009418D4">
        <w:rPr>
          <w:rFonts w:cs="Arial"/>
        </w:rPr>
        <w:tab/>
        <w:t xml:space="preserve">End date: </w:t>
      </w:r>
      <w:bookmarkStart w:id="8" w:name="AuditEndDate"/>
      <w:r w:rsidR="00A4268A">
        <w:rPr>
          <w:rFonts w:cs="Arial"/>
        </w:rPr>
        <w:t>1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Lara Lodge 2017 Limited trading as Lara Lodge can provide care for up to 27 residents. This certification audit was conducted against the Health and Disability Service Standards and the service contract with the District Health Board.  The service can provide care for residents requiring rest home level of care. The service can also provide residential care for those needing Long term Support - Chronic Health Conditions, plus palliative care.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The facility manager and communications manager (both owners are responsible for the overall operational management of the service and they are supported by the clinical nurse manager who provides clinical oversight. Service delivery is monitored.</w:t>
      </w:r>
    </w:p>
    <w:p w:rsidRPr="00A4268A">
      <w:pPr>
        <w:spacing w:before="240" w:line="276" w:lineRule="auto"/>
        <w:rPr>
          <w:rFonts w:eastAsia="Calibri"/>
        </w:rPr>
      </w:pPr>
      <w:r w:rsidRPr="00A4268A">
        <w:rPr>
          <w:rFonts w:eastAsia="Calibri"/>
        </w:rPr>
        <w:t xml:space="preserve">Improvements are required to integration of resident records; review of use of restraint and alignment of completion of interRAI assessments and documentation of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on entry to the service and when requested. Residents and family members confirm their rights are met, staff are respectful of their needs and communication is appropriate.  </w:t>
      </w:r>
    </w:p>
    <w:p w:rsidRPr="00A4268A">
      <w:pPr>
        <w:spacing w:before="240" w:line="276" w:lineRule="auto"/>
        <w:rPr>
          <w:rFonts w:eastAsia="Calibri"/>
        </w:rPr>
      </w:pPr>
      <w:r w:rsidRPr="00A4268A">
        <w:rPr>
          <w:rFonts w:eastAsia="Calibri"/>
        </w:rPr>
        <w:t xml:space="preserve">Consent is documented and verbally ascertained on a daily basis and residents and family are given relevant information. </w:t>
      </w:r>
    </w:p>
    <w:p w:rsidRPr="00A4268A">
      <w:pPr>
        <w:spacing w:before="240" w:line="276" w:lineRule="auto"/>
        <w:rPr>
          <w:rFonts w:eastAsia="Calibri"/>
        </w:rPr>
      </w:pPr>
      <w:r w:rsidRPr="00A4268A">
        <w:rPr>
          <w:rFonts w:eastAsia="Calibri"/>
        </w:rPr>
        <w:t xml:space="preserve">The communications manager is responsible for management of complaints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documented quality and risk management system that supports the provision of clinical care and support at the service. Policies are reviewed and there is a document control process in place. </w:t>
      </w:r>
    </w:p>
    <w:p w:rsidRPr="00A4268A">
      <w:pPr>
        <w:spacing w:before="240" w:line="276" w:lineRule="auto"/>
        <w:rPr>
          <w:rFonts w:eastAsia="Calibri"/>
        </w:rPr>
      </w:pPr>
      <w:r w:rsidRPr="00A4268A">
        <w:rPr>
          <w:rFonts w:eastAsia="Calibri"/>
        </w:rPr>
        <w:t xml:space="preserve">There are human resource policies implemented around selection of staff, orientation and staff training and development. 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the development of care plans with input from the residents, staff and family member representatives. Care plans and assessments are developed and evaluated within the required time frames that safely meet the needs of the resident and contractual requirements.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and family/whanau expressed satisfaction with the activities programme. </w:t>
      </w:r>
    </w:p>
    <w:p w:rsidRPr="00A4268A" w:rsidP="00621629">
      <w:pPr>
        <w:spacing w:before="240" w:line="276" w:lineRule="auto"/>
        <w:rPr>
          <w:rFonts w:eastAsia="Calibri"/>
        </w:rPr>
      </w:pPr>
      <w:r w:rsidRPr="00A4268A">
        <w:rPr>
          <w:rFonts w:eastAsia="Calibri"/>
        </w:rPr>
        <w:t xml:space="preserve">There is a medication management system in place and medication is administered by staff with current medication competencies. All medications are reviewed by the general practitioner every three months or as when necessary according to policy.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Residents and family interviewed confirm that adequate fluids and food are provided. Snacks are available between meals or whenever needed.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in place and a New Zealand Fire Service evacuation scheme is approved.  A preventative and reactive maintenance programme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There were no residents using enablers at the time of the audit and one resident using a bedrail identified as a restraint. Staff interviewed demonstrated understanding of restraint and enabler use and receive ongoing education around restraint and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other service providers. The infection control coordinator is responsible for co-ordinating education and training of staff. Infection data is collated monthly, analysed and reported during staff meetings. The infection control surveillance and associated activities are appropriate for the size and complexity of the service and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629"/>
        <w:gridCol w:w="1280"/>
        <w:gridCol w:w="80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they receive services that meet their cultural needs, receive information relative to their needs and that staff respect their wishes. Staff can explain rights for residents in a way that promotes choice. The posters identifying residents’ rights are displayed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education programme.  All staff have had training in the last year. Interviews with staff confirm their understanding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are provided on ways the Code is implemented in everyday practice, including maintaining residents' privacy;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consent. Staff ensure that all residents are aware of treatment and interventions planned for them, and the resident and/or significant others are included in the planning of that care. All resident files identified that informed consent is collected and recorded. Interviews with staff confirmed their understanding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clinical nurse manager, registered nurse or the communications manager discusses informed consent processes with residents and their families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Advanced directives are signed by a resident deemed competent to make a decision.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information on the role of advocacy services is provided to complainants at the time when their complaint is being acknowledged.  Resident information around advocacy services is available at the entrance to the service and in information packs provided to residents and family on admission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and this was last provided for staff in 2017.</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Families interviewed confirm they could visit at any time and were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to maintain family and friend’s networks. Resident files reviewed demonstrate that progress notes and the content of care plans include regular outings and appointments with staff able to take residents into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A complaints register is in place noting that there have not been any complaints since the last audit. There is a multidisciplinary meeting held annually with each file reviewed including input from family member/s. The satisfaction expressed through interviews and through documentation on the multidisciplinary review indicates that family and residents are very satisfied with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with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communications manager or other registered nurse discusses the Code, including the complaints process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includes information around rights and this can be produced in a bigger font, if required.  Information is given to next of kin or an enduring power of attorney (EPOA) to read to and discuss with the resident in private. Residents and family members can describe their rights and advocacy services particularly in relation to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that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 that they knock on bedroom doors prior to entering rooms, ensure doors are shut when cares are being given and do not hold personal discussions in public areas. Practices consistent with this were observed on the days of the audit.  Residents and families confirm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 that they are committed to the prevention and detection of abuse and neglect by ensuring provision of quality care.  Staff receive training annually on abuse and neglect and can describe signs. There were no incidents of abuse nor neglect reported in incident forms reviewed nor any documented on the complaints register. Residents, staff and family interviewed confirm that there is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are aware of the need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 /or spiritual values and individual preferences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policy that outlines the processes for working with people from other cultures. There is a Māori health policy that outlines how to work with Māori with reference to the Treaty of Waitangi. </w:t>
            </w:r>
          </w:p>
          <w:p w:rsidR="00EB7645" w:rsidRPr="00BE00C7" w:rsidP="00BE00C7">
            <w:pPr>
              <w:pStyle w:val="OutcomeDescription"/>
              <w:spacing w:before="120" w:after="120"/>
              <w:rPr>
                <w:rFonts w:cs="Arial"/>
                <w:b w:val="0"/>
                <w:lang w:eastAsia="en-NZ"/>
              </w:rPr>
            </w:pPr>
            <w:r w:rsidRPr="00BE00C7">
              <w:rPr>
                <w:rFonts w:cs="Arial"/>
                <w:b w:val="0"/>
                <w:lang w:eastAsia="en-NZ"/>
              </w:rPr>
              <w:t>Staff report that specific cultural needs for Māori are identified in the specialised Māori assessment and in the residents’ care plans. The manager states that the service can access a kaumatua if required. This may be to support the service around tikanga protocols or general advice. The rights of the resident and family to practise their own beliefs are acknowledged in the policy.</w:t>
            </w:r>
          </w:p>
          <w:p w:rsidR="00EB7645" w:rsidRPr="00BE00C7" w:rsidP="00BE00C7">
            <w:pPr>
              <w:pStyle w:val="OutcomeDescription"/>
              <w:spacing w:before="120" w:after="120"/>
              <w:rPr>
                <w:rFonts w:cs="Arial"/>
                <w:b w:val="0"/>
                <w:lang w:eastAsia="en-NZ"/>
              </w:rPr>
            </w:pPr>
            <w:r w:rsidRPr="00BE00C7">
              <w:rPr>
                <w:rFonts w:cs="Arial"/>
                <w:b w:val="0"/>
                <w:lang w:eastAsia="en-NZ"/>
              </w:rPr>
              <w:t>Staff who identify as Māori can provide support for any Māori residents in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family/whanau in the delivery of care for the Māori residents. Staff have completed training within the last year around culture including the Treaty of Waitangi and appropriateness of services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 clinical nurse manager or registered nurse identifies each resident’s personal needs at the time of admission through the assessment process.  This is achieved with the resident, family and/or their representative as described by family and residents interviewed. Information gathered during assessment includes the resident’s cultural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There are a no residents for whom English is a second language. Resident records reviewed during the audit reflected assessment of and planning to meet cultural needs when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 implementation of policies and processes around boundaries relating to discrimination, abuse and neglect, harassment and exploitation.  Training includes discussion of the staff code of conduct and prevention of inappropriate care. Staff interviewed state that they are aware of the policies and are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they would formally complain to management if they felt that they were discriminated against. There were no complaints recorded in the complaints register for the previous 12 months relating to any form of discrimination or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with a job description sighted in staff files sampled. The orientation and employee agreement provided to staff on induction includes standards of conduct.  Interviews with staff confirmed their understanding of professional boundaries, including the boundaries of the caregivers’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policies to guide practice.  These policies align with the health and disability services standards and are reviewed as legislation and evidence changes. There is a training programme for all staff with a high level of attendance from staff.  Residents and families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for staff is available through the clinical nurse manager, the registered nurse, the general practitioner and specialists at the District Health Board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provided.  Family are informed if the resident has an incident, accident, has a change in health or a change in needs, as evidenced in completed accident/incident forms. Family confirm that there is a lot of communication from the communications manager, facility manager, clinical nurse manager and registered nurse and they are encouraged to visit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Family confirm that they are invited to the care planning meetings for their family member and can attend the resident meetings. Residents who attend the resident meetings confirmed that they are useful forums to raise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sign an admission agreement on entry to the service. Those reviewed are signed on the day of admission. The admission agreement provides clear information around what is paid for by the service and by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owners/directors are identified as the facility and communications managers. They are on site daily with weekly manager meetings (including the clinical nurse manager).  The strategic direction for the organisation is documented. The purpose, values, scope, direction, and goals of the organisation are identified and have been reviewed within the past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organisational structure, with the owners/managers and clinical nurse manager providing operational and clinical oversight respectively.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and communications managers have over 10 years’ experience in providing support for people with disabilities.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provides clinical oversight (a full-time role). The clinical operations manager was appointed to the role in September 2016 and they are a registered nurse. The clinical nurse been in the role for over one year and has extensive experience in secondary health services and in aged care.  The clinical nurse manager maintains their eight hours professional development per annum and the communications manager continues to have over eight hours training in management.  Both can describe their roles related to their areas of expertise.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14 residents in the facility requiring rest home level of care. The service can provide care for residents identified under the Long term Support - Chronic Health Conditions or for palliative care however there were no residents requiring care under these contracts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owners/facility and communications managers, the clinical nurse manager would provide operational management of the service. The clinical nurse manager has completed management training in the past.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has been appointed recently into the service and is being supported by the clinical nurse manager to gain experience in aged care. It is expected that they will provide support from a clinical perspective if the clinical nurse manager is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in place and a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 two yearly and as changes in legislation occurs. Policies are linked to the Health and Disability Sector Standards, current and applicable legislation, and evidenced-based best practice guidelines.  Policies are available to staff in hard copy.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and resolution of complaints; review of incidents and accidents; surveillance of infections; monitoring for any clinical issues; feedback from residents and family and implementation of an internal audit programme. The corrective action plans are documented and evidence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schedule of meetings includes a two-monthly staff meeting with emails circulated to staff as issues arise. The meeting includes all aspects of the quality and risk management programme. The is a monthly resident meeting facilitated by the owner/communications manager and family are also able to attend if they wish. The meetings are well attended. Staff report that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of the service is gathered through the resident meeting, the multidisciplinary meeting and through an open-door policy confirmed as being in place by family and residents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and align with new legislation. There is a hazard management programme. There is evidence of hazard identification forms completed when a hazard is identified. Hazards including any maintenance issues are addressed as soon as they arise, and risks are eliminated, minimised or isolated.  Health and safety is audited monthly. Review of incidents, risks, accidents and clinical issues are discussed through meetings as part of the health and safety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and communications manager are aware of situations in which the service would need to report and notify statutory authorities including: police attending the facility; unexpected deaths; sentinel events; infectious disease outbreaks and changes 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can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in each relevant resident record.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and registered nurse hold a current annual practising certificate along with other health practitioners such as the general practitioner, podiatrist and pharmacist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including signed contracts; job descriptions and reference checks.  There is an appraisal process in place with staff files indicating that staff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caregivers are paired with a senior caregiver for shifts or until they demonstrate competency on a number of tasks including personal cares.  Caregivers confirmed their role in supporting and buddying new staff. There is a low turnover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annual training schedule documented with all staff attending each training offered. The content of each session is retained along with documentation of attendance and evaluation of each session. Education and training hours are at least eight hours a year for each staff member. The clinical nurse manager and registered nurse have both has completed interRAI training with certificates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with sufficient staff to cover shifts if others are on leave.  Staff are rostered on for an eight-hour shift across a 24-hour period with rosters reviewed indicating that staff are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20 staff including the clinical nurse manager (40 hours a week); a registered nurse (32 hours a week); care staff and household staff. The clinical nurse manager and registered nurse alternate on call with the communications manager and the clinical nurse manager also available at all times if required. Cooks prepare all meals. Residents and families interviewed confirmed staffing is adequate to meet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with their designation documented.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residents’ files have been divided into separate folders and forms onto clip boards. Files are therefore not integrated, and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There is an information pack provided to a potential resident and family that contains all the information about entry to the service. Assessments are documented. Screening processes are clearly communicated to the family of choice where appropriate, local communities and referral agencies. Each resident file reviewed included a needs assessment that outlined the level of care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the management of transfers and discharges. A standard transfer notification form from the District Health Board is utilised when residents are required to be transferred to the public hospital or another service. Residents and their families are involved in all exit or discharges to and from the service and there was sufficient evidence in the resident’s records to confirm this. Any risks are documented and included in any transfer, exit or discharge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entries sampled confirm that they are reviewed every three months and as required by the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Allergies are clearly documented, and photographs uploaded for easy identification. Medication reconciliation is conducted by the clinical nurse manager or registered nurse when a resident is transferred back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 was observed administering medication as per policy and procedure. The medication management system is implemented to ensure that residents receive medicines in a secure and timely manner and medication entries sampled complied with legislation, protocols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in a safe and secure way in the office and locked cupboard.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indicating that competencies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is current and correct. Weekly and six-monthly stock takes are conducted, and all medications are stored appropriately in a safe within a locked cupboard. Balances checked on audit day matched those recorded in the controlled drug register.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 at the time of the audit. There is a policy and procedure for self-administration of medication if required. There is a social leave medication form that is used if the resident stays overnight at their family residence and balances and medication is checked prior to leaving and on return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that are opened that expire within a certain period are dated when opened.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dining area. The menu has been reviewed by a dietitian two years ago and has recently been also reviewed by a nutritionist. A chef has been employed to manage food services and they have documented a food plan as per changes in recent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have current food handling certificates. Diets are modified as required. The chef confirmed awareness on dietary needs of the residents. The residents have a nutritional profile developed on admission which identifies dietary requirements, likes and dislikes. The resident’s weight is monitored regularly,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and pantry were observed to be clean, tidy and stocked. Labels and dates are on all containers and records of temperature monitoring on food, fridges and freezers are maintained. Regular cleaning is undertaken, and all services comply with current legislation and guidelines. The residents and family interviewed indicated that they were very satisfied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reports that all consumers who could be declined entry would be verbally informed of this noting that there are no consumers who have been declined entry as all have been assessed as requiring rest home level of care by the needs assessment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are completed within three weeks according to policy. Assessments and care plans are detailed and include input from the family and other health team members as appropriate. The nursing staff utilise standardised risk assessment tools on admission. In interviews, residents and relatives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long term care plans and short-term care plans for acute needs. Goals are specific and measurable, and interventions are detailed to address the desired goals/outcomes identified during the assessment process. Care plans sampled included six monthly input from the multidisciplinary team including the resident and family. The residents and relatives interviewed confirm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sufficient to address the assessed needs and desired goals/outcomes. Significant changes are reported in a timely manner and prescribed orders carried out satisfactorily. Progress notes are completed on every shift. Monthly observations are completed and are up to date. Adequate clinical supplies are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interviewed states that staff escalate any issues (for example changes in a resident’s needs) in a timely manner and staff follow up prescribed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programme covers physical, social, recreational, emotional and cultural needs of the residents. The communications manager coordinates the activities programme with modification of the programme as per individual needs; based on the resident’s response and interests and also according to the capability and cognitive abilities of the residents. Activities include music, bingo, van outings, book and newspaper readings, church services respectively.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actively involved in supporting residents to achieve their goals related to socialisation and activity.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meaningful activities on the audit days. Residents were observed to be going offsite with family/friends. There are planned activities and community connections that are suitable for the residents. The residents and relatives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interRAI assessments and activity plans are evaluated at least six monthly and updated when there are any changes. Relatives and staff input is sought in all aspects of care.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the management of all referrals. The service utilises a standard referral form when referring residents to other service providers. The general practitioner confirms that processes are in place to ensure that all referrals are followed up accordingly in a timely manner. Resident and family are kept informed of the referrals made by the service. All referrals are facilitated by the nursing staff or the general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with an expiry date of July 2018.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Any maintenance issues identified by staff are logged and attended to by the owner/facility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Indoor and outdoor space and seating arrangements provide for individual and group activities and all areas are suitable for residents with mobility aids. There are quiet areas for residents to 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relevant to care needs is available and staff confirmed that there is always a sufficient amount of equipment. 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Communal toilets are conveniently located close to communal areas. Communal toilet facilities have a system that indicates if it is engaged or vacant or a lock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with all bedrooms having a hand basin.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 observed residents being supported to access communal toilets and showers in ways that are respectful and dignified with the ability to have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personalized with furnishings, photos and other personal adornments and the service encourages residents to make the room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lounge and dining area with these spaces able to be used for activities. All areas are easily accessed by residents and staff.  Residents can access areas for privacy, if required.  Furniture is appropriate to the setting and arranged in a manner which enabled residents to mobilise freely.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completed on site with covered laundry trolleys and bags in use for transport. The laundry area has been reorganised to ensure that there are clean and dirty spaces. Dirty laundry was observed to be kept separate from clean laundry on the days of the audit. Residents and family members state that the laundry is well managed, and they seldom have missing clothes.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has a locked cupboard to put chemicals in and the cleaner is aware that the trolley must be with them at all times.   This was observed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in appropriately labelled containers. Products are used with training around use of products provided throughout the year. Cleaning and laundry processes are monitored through the internal audit process with no issues identified in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Zealand Fire Service has approved an evacuation plan. There have been no building reconfigurations since this date.  An evacuation policy on emergency and security situations is in place.  A fire drill takes place at least six monthly with all staff having completed training. The orientation programme includes emergency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is checked within required timeframes by an external contractor.  A civil defence plan is in place.  There are adequate supplies in the event of a civil defence emergency including food, water, blankets and a gas BBQ.  Emergency lighting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Systems are in place to ensure the facility is secure and safe for the residents and staff.  External lighting is adequate for safety and security.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operational with bells in each room. Those tested on the days of audit were working and staff responded to call bells in a prompt manner. Residents interviewed confirm that staff attend promptly when a bell is activated.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designated as a smoke free service however there is an external area available for residents if they smoke.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 that rooms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minimises the risk of infection to residents, staff and visitors by implementing an appropriate infection prevention and control programme. Either the clinical nurse manager of the registered nurse can access a general practitioner or specialist from the District Health Board when required. A documented job description for the infection control coordinator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 knowledge on the requirements of standard precautions and able to locate policies and procedures. The organisation has documented policies and procedures in place that reflect current best practice for example, hand hygiene as per the World Health Organisation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cleaner were observed to manage waste correctly.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conducted by ICC and other specialist consultants. A record of attendance is maintained and was sighted. The training education information pack is detailed and follows the policy and procedures documented. External contact resources included: general practitioner; laboratories and local district health board staff. Staff interviewed confirm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(registered nurse) has completed training around infection control in 2017 with the certificate of completion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or clinical nurse manager is responsible for the surveillance programme for this service. Clear definitions of surveillance and types of infections (e.g. facility-acquired infections) are documented to guide staff. Information is collated on a monthly basis. Surveillance is appropriate for the size and nature of the services provided. Infection control processes are in place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register includes monthly infection logs and antibiotic use. Infections are investigated, and appropriate plans of action are sighted in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provides consistent definitions for restraints and enablers. One resident used a bedrail on the day of audit which was identified as a restraint and there were no resident’s enablers. All staff receive education regarding restraint minimisation and challenging behaviours. Staff interviewed are aware of the difference between a restraint and an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process for determining approval of all types of restraints used. The restraint coordinator (clinical nurse manager or registered nurse) completes a restraint assessment, which is then discussed with the general practitioner and family prior to commencement of any restraints. The restraint committee (staff meeting)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duration of each restraint is documented in the restraint plans of residents. Care staff are responsible for monitoring and completing restraint forms when the restraints are in use. Evidence of on-going education regarding restraint and challenging behaviour is documented. Staff members are made aware of the residents using restraints during monthly staff meetings and at handover as observed on the day of audit.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 restraint related risks. The service records underlying causes for behaviour that requires restraint with a focus on culturally safe practices; identification of desired outcomes; and possible alternatives to restraint. Restraint risks and monitoring timeframes are identified in the restraint assessment records.</w:t>
            </w:r>
          </w:p>
          <w:p w:rsidR="00EB7645" w:rsidRPr="00BE00C7" w:rsidP="00BE00C7">
            <w:pPr>
              <w:pStyle w:val="OutcomeDescription"/>
              <w:spacing w:before="120" w:after="120"/>
              <w:rPr>
                <w:rFonts w:cs="Arial"/>
                <w:b w:val="0"/>
                <w:lang w:eastAsia="en-NZ"/>
              </w:rPr>
            </w:pPr>
            <w:r w:rsidRPr="00BE00C7">
              <w:rPr>
                <w:rFonts w:cs="Arial"/>
                <w:b w:val="0"/>
                <w:lang w:eastAsia="en-NZ"/>
              </w:rPr>
              <w:t>A file reviewed for a resident who used restraint confirmed that a comprehensive assessment was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Before resorting to the use of restraint, the restraint coordinator (registered nurse) tries other means to prevent the resident from incurring injury. Restraint consents are signed by the general practitioner, family and the restraint coordinator. Restraints are incorporated in the long-term care plans and reviewed three monthly. The restraint register is up to date. </w:t>
            </w:r>
          </w:p>
          <w:p w:rsidR="00EB7645" w:rsidRPr="00BE00C7" w:rsidP="00BE00C7">
            <w:pPr>
              <w:pStyle w:val="OutcomeDescription"/>
              <w:spacing w:before="120" w:after="120"/>
              <w:rPr>
                <w:rFonts w:cs="Arial"/>
                <w:b w:val="0"/>
                <w:lang w:eastAsia="en-NZ"/>
              </w:rPr>
            </w:pPr>
            <w:r w:rsidRPr="00BE00C7">
              <w:rPr>
                <w:rFonts w:cs="Arial"/>
                <w:b w:val="0"/>
                <w:lang w:eastAsia="en-NZ"/>
              </w:rPr>
              <w:t>Files were reviewed where the resident was using restraint (bedrail). They had documentation of risks around restraint and safe ways for the restraint to be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evaluates all episodes of restraint. Reviews include the effectiveness of the restraint in use, restraint-related injuries and whether the restraint is still required. The family are involved in the evaluation of the restraints’ effectiveness and continuity. Documentation was sighted in the progress notes of the residents regarding restraint related matters. Restraint minimisation and safe practices are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lack of in depth discussion documented as part of the review of the individual use of restraint for one resident and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demonstrates the monitoring and quality review of their use of restraints. The audit schedule was sighted and included restraint minimisation reviews. There are corrective actions put in place when issues are identified.  The content of the internal audits includes the effectiveness of restraints, staff compliance, safety and cultural considerations.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71"/>
        <w:gridCol w:w="1280"/>
        <w:gridCol w:w="3247"/>
        <w:gridCol w:w="1392"/>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files have been re-organised with forms on a number of clipboards; a file for immediate information including assessments and care plans; a file for the doctor with medical records; medication files and other. The medical officer interviewed stated that they found it difficult at times to see a whole picture, but they also stated that staff were very efficient in having all information ready for them when they visited.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files are not integrated.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each resident has an integrated record.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has been trained in completion of interRAI assessments. There has been a delay in the sign off of the registered nurses training and therefore a delay in documentation of the care plan after an interRAI assessment has been completed. The clinical nurse manager states that they have been aware of the delay due to the Christmas period and that while the care plans have been completed, they have not been signed off by the interRAI training assessor and therefore there appears to be a delay in completion of the documentation.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for review of the care plan do not always align with the completion of the interRAI 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review of the resident care plans occurs in a timely manner following completion of the interRAI assessment.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and registered nurse interviewed can both describe the review process to be implemented for use of a restraint. The review of the use of the restraint (bed rail) for one resident is identified in the interRAI assessment and referenced in the long-term care plan however an in-depth evaluation, re-assessment and subsequent care plan is not well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in-depth evaluation, re-assessment and subsequent care plan is not well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sufficient documentation of the use of restraint for an individual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Lara Lodge 2017 Limited - Lara Lodge</w:t>
    </w:r>
    <w:bookmarkEnd w:id="58"/>
    <w:r>
      <w:rPr>
        <w:rFonts w:cs="Arial"/>
        <w:sz w:val="16"/>
        <w:szCs w:val="20"/>
      </w:rPr>
      <w:tab/>
      <w:t xml:space="preserve">Date of Audit: </w:t>
    </w:r>
    <w:bookmarkStart w:id="59" w:name="AuditStartDate1"/>
    <w:r>
      <w:rPr>
        <w:rFonts w:cs="Arial"/>
        <w:sz w:val="16"/>
        <w:szCs w:val="20"/>
      </w:rPr>
      <w:t>1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