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Komal Holdings Limited - Bloomfield Court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Komal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Bloomfield Court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December 2017</w:t>
      </w:r>
      <w:bookmarkEnd w:id="7"/>
      <w:r w:rsidRPr="009418D4">
        <w:rPr>
          <w:rFonts w:cs="Arial"/>
        </w:rPr>
        <w:tab/>
        <w:t xml:space="preserve">End date: </w:t>
      </w:r>
      <w:bookmarkStart w:id="8" w:name="AuditEndDate"/>
      <w:r w:rsidR="00A4268A">
        <w:rPr>
          <w:rFonts w:cs="Arial"/>
        </w:rPr>
        <w:t>5 December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increased rest home bed numbers by one bedroom to 27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Bloomfield Court rest home provides rest home level care for up to 26 residents and has a current occupancy of 24.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staff, management and the general practitioner.  This audit also assessed one additional room as being suitable to provide rest home level care</w:t>
      </w:r>
    </w:p>
    <w:p w:rsidRPr="00A4268A">
      <w:pPr>
        <w:spacing w:before="240" w:line="276" w:lineRule="auto"/>
        <w:rPr>
          <w:rFonts w:eastAsia="Calibri"/>
        </w:rPr>
      </w:pPr>
      <w:r w:rsidRPr="00A4268A">
        <w:rPr>
          <w:rFonts w:eastAsia="Calibri"/>
        </w:rPr>
        <w:t xml:space="preserve">Staff turnover is reported as low.  Staff interviewed, and documentation reviewed identified the quality and risk management systems in place are appropriate to meet the needs and interests of the resident group.  Family and residents interviewed all spoke very positively about the care and support provided.  </w:t>
      </w:r>
    </w:p>
    <w:p w:rsidRPr="00A4268A">
      <w:pPr>
        <w:spacing w:before="240" w:line="276" w:lineRule="auto"/>
        <w:rPr>
          <w:rFonts w:eastAsia="Calibri"/>
        </w:rPr>
      </w:pPr>
      <w:r w:rsidRPr="00A4268A">
        <w:rPr>
          <w:rFonts w:eastAsia="Calibri"/>
        </w:rPr>
        <w:t xml:space="preserve">The service is privately owned and is managed by a registered nurse who has worked intermittently at Bloomfield for fifteen years. The manager has been in her current role for six months.  She is supported by two part-time registered nurses and care staff.  </w:t>
      </w:r>
    </w:p>
    <w:p w:rsidRPr="00A4268A">
      <w:pPr>
        <w:spacing w:before="240" w:line="276" w:lineRule="auto"/>
        <w:rPr>
          <w:rFonts w:eastAsia="Calibri"/>
        </w:rPr>
      </w:pPr>
      <w:r w:rsidRPr="00A4268A">
        <w:rPr>
          <w:rFonts w:eastAsia="Calibri"/>
        </w:rPr>
        <w:t xml:space="preserve">The service has addressed five of the six previous findings relating to: quality data analysis and communication, use of correctional fluid, the assessment process, kitchen training, food, fridge and hot water temperatures. </w:t>
      </w:r>
    </w:p>
    <w:p w:rsidRPr="00A4268A">
      <w:pPr>
        <w:spacing w:before="240" w:line="276" w:lineRule="auto"/>
        <w:rPr>
          <w:rFonts w:eastAsia="Calibri"/>
        </w:rPr>
      </w:pPr>
      <w:r w:rsidRPr="00A4268A">
        <w:rPr>
          <w:rFonts w:eastAsia="Calibri"/>
        </w:rPr>
        <w:t xml:space="preserve">Further improvements are required around interRAI assessment timeframes.  This audit identified that improvements are required around completing health and safety management and medication administration.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receive a high standard of support and assistance, staff communicate effectively with the residents.  Residents and their families are kept informed, and there is documentation to evidence communication with families.  Residents and their families are aware of how to make a complaint and their right to do so.  The complaints process ensures issues are managed in a timely manner.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Bloomfield Court has an organisational philosophy, which includes a vision, mission statement and strategic objectives.  </w:t>
        <w:br/>
        <w:t xml:space="preserve">The owner has owned the facility for the past two and a half years.  The manager is supported in her role by two part-time registered nurses and care staff.  The facility is guided by a comprehensive set of policies and procedures which are reviewed.  An internal audit programme monitors service performance.  Where performance is less than expected, a corrective action process is implemented.  Health and safety policies, systems and processes are implemented to manage risk.  Adverse events are effectively managed.  Human resources processes are managed in accordance with good employment practice, meeting legislative requirements.  The induction and education and training programmes for the staff ensure staff are competent to provide care.  Staffing levels are safe and appropriate.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There are entry and admission procedures in place.  Residents and family members interviewed state that they are kept involved and informed about the resident's care.  Care plans are developed by the registered nurse who also has the responsibility for maintaining and reviewing care plans.  Care plans are individually developed with the resident, and family/whānau involvement is included where appropriate and evaluated six monthly or more frequently when clinically indicated.  Risk assessment tools and monitoring forms are available to assess effectively the level of risk and support required for residents.  A range of activities are available, and residents provide feedback on the programme.  The medication management system includes medication policy and procedures that follows recognised standards. The service has food policies/procedures for food services and menu planning appropriate for this type of service.  Dietitian input is obtained.  Residents' food preferences are identified, and this includes any dietary preferences or needs.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Bloomfield Court has a current building certificate which expires on 1 June 2018.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use of restraint is actively minimised.  Restraint is regarded as the last intervention when no appropriate clinical interventions, such as de-escalation techniques, have been successful.  On the day of audit, there were no residents assessed as requiring restraint or enablers.  Staff are required to attend restraint minimisation and safe practice education.  The restraint minimisation programme is reviewed through the quality management system.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registered nurse is the infection control coordinator.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are in place.  The manager is responsible for ensuring complaints are addressed within the required timeframe and maintains contact with the complainant throughout the complaints process.  A complaints procedure is provided to residents within the information pack at entry.  Four complaints received in 2016 and one complaint from 2017 were reviewed and reflected evidence of responding to the complaints in a timely manner with appropriate follow-up actions taken.  Documentation including follow-up letters and resolution demonstrates that complaints are being managed in accordance with guidelines set forth by the Health and Disability Commissioner timeframes.  Residents and family members interviewed advised that they are aware of the complaints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registered nurse welcomes residents and families on entry and explains about services and procedures.  Six residents interviewed stated they were welcomed on entry and were given time and explanation about the services and procedures.  Evidence of communication with family/whānau is recorded on the ten accident/incident form and in the residents’ progress notes.  Accident/incident forms reviewed identified family had been kept informed.  Three relatives interviewed stated that they were informed when their family member’s health status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Bloomfield Court is a 27-bed rest home (one bedroom has been built on since previous audit.  This room has been verified at this audit as suitable to provide rest home level care).  On the day of audit there were 24 rest home residents.  All residents are under the ARCC agreement.  The owner/manager purchased the business in June 2015.  The owner closely supports the manager who has the responsibility of the daily operations, and oversees the delivery of services.  The manager is supported by two part-time registered nurses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for 2015-2017 in place.  Goals identified included (but not limited to): upgrade the accommodation and environment, and provide quality training in the areas of care services.  There have been environmental improvements and purchase of new equipment.  The refurbishing plan is ongoing.  Staff interviewed confirmed the communication levels are good and the staff work together as a team.  Residents and families speak highly of the staff and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Bloomfield Court manager has attended at least eight hours of training relating to the management role.  The manager with the support of the owner is available on call for any facility or staffing matters.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manager, clinical nurse manager and staff (two caregivers, one registered nurse, one recreational officer and one cook) reflect their understanding of the quality and risk management system.  Policies and procedures and associated implementation systems provide a good level of assurance that the facility is meeting accepted good practice and adhering to relevant standards, including those standards relating to the Health and Disability Services (Safety) Act 2001. Policies and procedures are stored in hard copy at the facility.  An external provider provides updates and reviews with the manager conducting further reviews to ensure that each policy aligns with the service.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accidents and incidents, infections, complaints, pressure areas, restraint (of which there is none) and medication errors.  Paper-based data is collected and entered into an online system which provides reports graphs and trends.  The data is then benchmarked against other similar facilities.  Fall prevention strategies are in place that include the analysis of fall incidents and the identification of interventions on a case-by-case basis to minimise future falls.  An annual internal audit schedule was sighted for the service with evidence of internal audits occurring as per the audit schedule.  Corrective actions are implemented when required and are signed off by the manager or clinical nurse manager when completed.  A daily summary is emailed to the owner.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data, including data trends are discussed in two monthly staff and monthly quality meetings.  Minutes for all meetings have included actions to achieve compliance where relevant.  Resident/relative meetings have been held two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resident/relative survey conducted in September 2017 attracted eleven respondents.  Comments were very positive with residents stating they were overall very satisfied.  Survey outcomes are communicated to residents via the residents meeting.  Residents/families were surveyed around first impressions, grounds and environment, staff, activities, food and general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system in place including policies to guide practice.  Shortfalls have been identified regarding health and safety training and hazard identification implementation.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Discussions with the service confirmed that there is an awareness of the requirement to notify relevant authorities in relation to essential notifications.  A sample of 10 resident related incident reports were reviewed.  All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Monthly and annual reviews of incidents inform quality initiatives.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 that relevant checks are completed to validate the individual’s qualifications, experience and veracity.  A copy of practising certificates is kept.  Five staff files were reviewed (the activities coordinator, the cook, a registered nurse and two caregivers) and included all appropriate documentation.  Staff turnover was reported as low, with some staff having been employed more than 15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The registered nurses and caregivers attend external training including seminars and education sessions with the local DHB.  Caregivers have completed either the national certificate in care of the elderly or are working towards completion.  Education is provided either as face-to-face sessions, self-directed reading and learning or attendance at in-service sessions.  The registered nurse has completed interRAI training.  Attendance rates are recorded and indicate good levels of attendance by staff.  The completed in-service calendar for 2017 exceeds eight hours annually, however, did not include health and safety (link 1.2.3.9).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Bloomfield Court has a weekly roster in place, which provides sufficient staffing cover for the provision of care and service to residents.  There is a registered nurse on duty or on call at all times.  There is a registered nurse on-site five days per week.  There are at least two caregivers on each morning and afternoon shift with one caregiver rostered at night.   Caregivers, residents and family interviewed advised that sufficient staff are rostered on for each shift.  There is at least one staff member trained in first aid and CPR on duty at all times.  Care staff interviewed advised that they are well supported by the manager and registered nurses.  One general practitioner was interviewed who confirmed that staffing is appropriate to meet the needs of residents.</w:t>
              <w:br/>
              <w:t xml:space="preserve">Four residents and three relatives confirm that there are sufficient staff on duty, and that they are approachable, competent and friendly.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medication management policies and procedures in place.  The service uses individualised blister packs that are checked-in on delivery by a registered nurse.  A caregiver was observed administering medications correctly.  Medications and associated documentation were stored safely and securely.  Eye drops currently being used are dated on opening as sighted.  There are no standing orders.  Weekly and pharmacy six-monthly controlled drug stocktakes were recorded.  Medications are reviewed three monthly with medical reviews by the attending GP.  Resident photos and documented allergies or nil known were on all 10 medication charts reviewed.  An annual medication administration competency is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One resident self-administers inhalers only. Three monthly resident competency assessments signed by the GP are evidence to confirm the resident's ongoing ability to safely self-medicate.  Individually prescribed resident medication charts are in use and this provides a record of medication administration information.  All medication charts reviewed recorded accurate indications for use of ‘as required’ medication by the GP. Not all medication administration records sampled documented all prescribed medication being administered.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the service are prepared and cooked on-site.  There is a four-weekly winter and summer menu, which has been reviewed by a dietitian.  Meals are prepared in a well-appointed kitchen and served to the residents in the adjoining dining room.  Kitchen staff are trained in safe food handling and food safety procedures are adhered to.  The service records all fridge and freezer temperatures.  Fridge and freezer temperatures and prepared food temperatures are documented.  Staff were observed serving and assisting residents with their lunchtime meals and drinks.  Diets are modified as required.  Food services staff know resident dietary profiles, and likes and dislikes and any changes are communicated to the kitchen via the registered nurses.  Supplements are provided to residents with identified weight loss issues.  Resident meetings and surveys allow for the opportunity for resident feedback on the meals and food services generally.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Monitoring forms sighted were in place for, behaviour management, fluid balance charts, blood glucose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a wound management plan is in place for five residents with nine wounds. One resident had five chronic skin lesions.  Other wounds included a skin tear, surgical site, and two inflamed toes.  All wounds evidence assessment, a management plan and regular evaluations. The registered nurse interviewed described the referral process and related form should they require assistance from a wound specialist or continence nurse.  Care plans are goal oriented and reviewed at least six monthly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This is evidenced by discussions with residents, families, three caregivers and one registered nurse.  A review of short-term care plans, long-term care plans, evaluations and progress notes demonstrate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27.5 hours per week over five days and as required, providing an activities programme with support from external providers and other staff.  The activities coordinator meets monthly with other activities coordinators in the area.  The programme is planned monthly.  Activities planned for the day are displayed on noticeboards around the facility.  An activity plan is developed for each individual resident based on assessed needs as part of the care plan.  One of three activity plans (two residents had not been at the service for six months) were reviewed six monthly (link 1.3.3.3).  Residents are encouraged to join in activities that are appropriate and meaningful and are encouraged to participate in community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wide range of activities offered, that reflects the resident needs including but not limited to: newspaper reading, communion, church services, exercises, visiting entertainment, seasonal celebrations, music, quizzes, craft, games, happy hour, van outings, indoor sports, shopping, movies, and crosswords.  Residents were observed participating in activities on the day of audit.  There is a copy of the monthly and weekly programme posted on the noticeboard.  Three monthly resident meetings provided a forum for feedback relating to activities. The activities coordinator runs the meetings and encourages residents input into the programme including choice of outings and crafts.  Residents and family members interviewed discussed enjoyment in the programme and the diversity offered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were updated as changes were noted in care requirements.  Care plan evaluations were comprehensive documented and related to each aspect of the care plan and recorded the degree of achievement of goals and interventions.  Care plans were evaluated within the required timeframes.  Short-term care plans are utilised for residents and any changes to the long-term care plan were dated and signed.  Examples of STCPs in use include; infections, weight issues and wounds.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informed of any changes to resident need at handover between shifts.  Caregivers interviewed confirmed that they are updated as to any changes to/or in resident’s care or treatment during handover sessions, which occur at the beginning of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June 2018.  The service has a disaster plan which includes specific emergencies.  Staff received emergency training in June 2017.  The previous partial attainment related to hot water temperatures has been addressed.  As part of this audit, an additional room was reviewed and is suitable for the provision of rest home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Bloomfield Court’s infection control programme.  Monthly infection data is collected for all infections based on signs and symptoms of infection.  An individual resident infection form is completed, which includes signs and symptoms of infection, treatment, follow-up, review and resolution.  Surveillance of all infections are entered onto a cloud-based monthly infection summary.  This data is monitored and evaluated monthly and annually and benchmarked against other similar facilities.  Outcomes and actions are discussed at the general staff meetings which incorporates infection control.  If there is an emergent issue, it is acted upon in a timely manner.  Full records including management and timeline of events relating to a Norovirus outbreak from August 2017 were reviewed.  Details relating to residents and staff who contracted the illness were tracked and monitored and a debriefing meeting was held with staff to review the outbreak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Bloomfield Court is committed to restraint minimisation and safe practice as evidenced in the restraint policy and interviews with staff.  Policy states that enablers are voluntary.  There are no residents using enablers and no residents assessed as requiring restraint.  Policy includes guidelines for use of enablers and restraint, alternatives to be conducted, de-escalation techniques, use of diversional therapies, and used as a last resort.  Policy also includes definitions for restraint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had training around restraint minimisation in September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94"/>
        <w:gridCol w:w="1280"/>
        <w:gridCol w:w="5624"/>
        <w:gridCol w:w="1403"/>
        <w:gridCol w:w="1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and procedures are in place.  These are updated by an external consultant and reflect changes to the Health and Safety at Work Act.  Health and safety policies and the hazard manual folders are readily available for staff to view.  Hazard forms are developed.  The orientation programme includes health and safety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hazard manual does not evidence that risks associated with the service have been identified or documented. </w:t>
            </w:r>
          </w:p>
          <w:p w:rsidR="00EB7645" w:rsidRPr="00BE00C7" w:rsidP="00BE00C7">
            <w:pPr>
              <w:pStyle w:val="OutcomeDescription"/>
              <w:spacing w:before="120" w:after="120"/>
              <w:rPr>
                <w:rFonts w:cs="Arial"/>
                <w:b w:val="0"/>
                <w:lang w:eastAsia="en-NZ"/>
              </w:rPr>
            </w:pPr>
            <w:r w:rsidRPr="00BE00C7">
              <w:rPr>
                <w:rFonts w:cs="Arial"/>
                <w:b w:val="0"/>
                <w:lang w:eastAsia="en-NZ"/>
              </w:rPr>
              <w:t>ii)  Education records do not evidence staff have been provided with ongoing health and safety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documented process for hazard identification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ii) Ensure staff education includes health and safety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medication management policies and procedures in place.  Medications are managed appropriately in line with accepted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 monthly medico blister pack medication system for all residents at Bloomfield Court Retirement Home.  The medication trolley and medication folder are stored in a locked medication/treatment room.  One senior caregiver was observed safely administering medications - checking the medication chart, the medico pack and then observing the resident taking the medication and completing documentation.  Staff sign for the administration of medications on medication sheets held with the medicines.  Not all signing sheets had been completed fully.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10 medication signing sheets included signing gaps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medications are administered as per medication charts and signed when given.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developed by the service’s registered nurse (RN) who also has the responsibility for maintaining and reviewing care plans.  An initial assessment and care plan is completed on admission. InterRAI assessments have been completed for all residents, however not all within contractual timeframes.  The long-term care plans reviewed were developed within three weeks.  Care plans are developed in consultation with other relevant people including residents and where appropriate family/whānau.  There is evidence of other allied health services input at the admission process (ie, general practitioner (GP), physiotherapy, dietitian, occupational therapist and podiatry).  Activity assessments and the activities care plans are completed by the activities coordinator.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(i)Two of three residents’ activity care plans were not reviewed within six months.: (ii) Four of five initial interRAI assessments were not completed within contractual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activity assessments and care plans are developed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Komal Holdings Limited - Bloomfield Court Retirement Home</w:t>
    </w:r>
    <w:bookmarkEnd w:id="58"/>
    <w:r>
      <w:rPr>
        <w:rFonts w:cs="Arial"/>
        <w:sz w:val="16"/>
        <w:szCs w:val="20"/>
      </w:rPr>
      <w:tab/>
      <w:t xml:space="preserve">Date of Audit: </w:t>
    </w:r>
    <w:bookmarkStart w:id="59" w:name="AuditStartDate1"/>
    <w:r>
      <w:rPr>
        <w:rFonts w:cs="Arial"/>
        <w:sz w:val="16"/>
        <w:szCs w:val="20"/>
      </w:rPr>
      <w:t>4 December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