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Shona McFarlane Retirement Village Limited - Shona McFarlane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Shona McFarlane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Shona McFarlane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December 2017</w:t>
      </w:r>
      <w:bookmarkEnd w:id="7"/>
      <w:r w:rsidRPr="009418D4">
        <w:rPr>
          <w:rFonts w:cs="Arial"/>
        </w:rPr>
        <w:tab/>
        <w:t xml:space="preserve">End date: </w:t>
      </w:r>
      <w:bookmarkStart w:id="8" w:name="AuditEndDate"/>
      <w:r w:rsidR="00A4268A">
        <w:rPr>
          <w:rFonts w:cs="Arial"/>
        </w:rPr>
        <w:t>12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Shona McFarlane facility is part of the Ryman group providing care for up to 79 residents in the care centre and up to 20 residents at rest home level in serviced apartments.  On the day of audit, there were 77 residents in the care centre and no residents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village manager has been with the Ryman company 19 years and in the current role for the last five years.  She is supported by an assistant manager and clinical manager.  The management team is supported by the Ryman management team including regional manager.</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r w:rsidRPr="00A4268A">
        <w:rPr>
          <w:rFonts w:eastAsia="Calibri"/>
        </w:rPr>
        <w:t>The service is commended for achieving continuous improvement ratings around good practice, quality initiatives, food service and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village manager, assistant manager and clinical manager are responsible for the day-to-day operations.  Goals are documented for the service with evidence of regular reviews.  Shona McFarlane has a well-established quality and risk management system that is directed by Ryman Christchurch.  Quality and risk performance is reported across the various facility meetings and to the organisation's management team.  Shona McFarlane provides clinical indicator data for the two services being provided (hospital and rest home).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comprehensive information available.  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six-monthly.  The resident/family/whānau interviewed confirmed they are involved in the care plan process and review.  Short-term care plans are in use for changes in health status.   </w:t>
      </w:r>
    </w:p>
    <w:p w:rsidRPr="00A4268A" w:rsidP="00621629">
      <w:pPr>
        <w:spacing w:before="240" w:line="276" w:lineRule="auto"/>
        <w:rPr>
          <w:rFonts w:eastAsia="Calibri"/>
        </w:rPr>
      </w:pPr>
      <w:r w:rsidRPr="00A4268A">
        <w:rPr>
          <w:rFonts w:eastAsia="Calibri"/>
        </w:rPr>
        <w:t xml:space="preserve">The diversional therapists provide an activity programme in each wing that ensures the abilities and recreational needs of the residents is varied, interesting and involves the families and community.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 xml:space="preserve">Meals are prepared on-site.  The menu is designed by a dietitian at organisational level.  Individual and special dietary needs are catered for.  </w:t>
      </w:r>
    </w:p>
    <w:p w:rsidRPr="00A4268A" w:rsidP="00621629">
      <w:pPr>
        <w:spacing w:before="240" w:line="276" w:lineRule="auto"/>
        <w:rPr>
          <w:rFonts w:eastAsia="Calibri"/>
        </w:rPr>
      </w:pPr>
      <w:r w:rsidRPr="00A4268A">
        <w:rPr>
          <w:rFonts w:eastAsia="Calibri"/>
        </w:rPr>
        <w:t xml:space="preserve">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on-site at all times.  Housekeeping staff maintain a clean and tidy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using restraints and one resident with two enablers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8"/>
        <w:gridCol w:w="1280"/>
        <w:gridCol w:w="9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Twelve care staff (two registered nurses (RNs), two unit coordinators and eight caregivers) interviewed, confirmed their understanding of the Code and how it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Specific consents were viewed for wound photographs and influenza vaccines.  Nine resident files reviewed (five rest home including one resident for respite care and four hospital level of care residents) included written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and/or resuscitation status are signed for separately by the competent resident.  Copies of EPOA are kept on the residents file where required and activated as required.  Caregivers and registered nurses (RN) interviewed, confirmed verbal consent is obtained when delivering care.  Family members interviewed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located in a visible location.  Information about complaints is provided on admission.  Interviews with all residents and family confirmed their understanding of the complaints process.  Staff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Five complaints have been received in 2017 (year-to-date).  All complaints have been managed in a timely manner and are documented as resolved.  The regional manager reported that all complainants are contacted by Ryman Christchurch to ensure that their complaint is resolved.  If the complaint is not resolved, the regional manager becomes involved.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Six relatives (four rest home and two hospital) and six residents (three rest home and three hospital) interviewed, confirmed that they have been provided with information on the Code.  Large print posters of the Code and advocacy information are displayed throughout the facility.  The village manager and clinical manager reported having an open-door policy and described the process around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residents’ cares.  Staff attend education and training on abuse and neglect in November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Links are established with local iwi and other community representative groups (ie, Koranui Marae) as requested by the resident/family.  Family/whānau involvement in assessment and care planning and visiting is encouraged.  There was one resident who identified as Māori at the time of the audit.  Cultural needs were identified both in the interRAI assessment and in the resident’s care plan.  Whānau input was sought in the resident’s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and that staff take into account their cultural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  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teamRyman programme.  Quality improvement plans (QIP) are developed where results do not meet expectations.  An electronic resident care system is used by all sites to report relevant data through to Ryman Christchurch.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of data analysis and trend reporting is designed to inform staff at facility level.  Management at facility level are then able to implement changes to practice, based on the evidence provided.  Evidence-based practice is evident, promoting and encouraging good practice.  The service receives support from the district health board which includes visits from specialists.  There is close liaison with the hospice team who provide support for end of life residents.  The service has exceeded the standard around end of life care.  A physiotherapist is available 12 hours per week with additional 15 hours support provided by a physiotherapy assistant.  There is a robust education and training programme for staff that includes in-service training, impromptu training (toolbox talks) and annual competency assessments that monitor staff comprehension for a range of topics.  Podiatry services are provided seven hours a fortnight.  The service has established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in the electronic database and in the residents’ progress notes.  All family interviewed stated they were well-informed.  Twelve incident/accidents reviewed for November 2017 indicated that the next of kin are routinely contacted following an adverse event.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Shona McFarlane Retirement Village is a Ryman Healthcare facility.  The service provides care for up to 79 residents in the care centre at hospital and rest home level of care.  All 79 beds are dual-purpose.  There are also 20 serviced apartments certified to provide rest home level of care.  There were no rest home residents in the serviced apartments at the time of the audit.  On the day of audit, there were 77 residents in total, 29 hospital level residents including one hospital level care resident on respite care and 48 rest home residents, including three rest home residents on respite care.  All other long-term residents were under the aged 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policy outlining the purpose, values and goals.  Facilities are required to set quality objectives annually.  Quality objectives for the 2016 year have been reviewed and 2017 objectives in place.  There is a health and safety, and risk management programme being implemented at Shona McFarlane.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(non-clinical) has been in this role eight years and has had a total of 19 years with Ryman.  The village manager is supported by a full-time experienced clinical manager who has been in the position for one and a half years.  She is supported by a hospital unit coordinator, rest home unit coordinator and serviced apartments unit coordinator.  Management are supported by a regional manager and operations &amp; clinical manager, who was present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attended a two-day Ryman conference and leadership programme 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during the temporary absence of the village manager, with support provided from the assistant manager and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Shona McFarlane has a well-established quality and risk management system that is directed by Ryman Christchurch.  Quality and risk performance is reported across the facility meetings and to the organisation's management team.  Discussions with the management team and review of management and staff meeting minutes, demonstrated their involvement in quality and risk activities.  Resident meetings are held two-monthly in each wing and family meetings are held six-monthly.  Minutes are maintained.  Annual resident and relative surveys are completed.  Quality improvement plans (QIPs) are completed where suggestions are identified with evidence sighted to support that residents and family concerns are addressed.  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The facility has implemented processes to collect, analyse and evaluate data, which is utilised for service improvements.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  The service has achieved and maintained a reduction in challenging behaviour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The health and safety officer (caregiver) was interviewed.  She has completed external health and safety training.  Health and safety meetings are conducted monthly.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management and staff meetings.  Ryman has achieved tertiary level ACC workplace safety management practice (WSMP), expiry 31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twelve incident/accidents forms identified that all are fully completed and include follow-up by a RN.  The clinical manager is involved in the adverse event process, with links to the regular management meetings and informal meetings.  This provides the opportunity to review any incidents as they occur.  Neurological observations are completed if there is a suspected injury to the head.  The village manager was able to identify situations that would be reported to statutory authorities.  A section 31 report was sighted for a stage three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Eleven staff files reviewed (one clinical manager, two-unit coordinators, two RNs, four caregivers, one activities coordinator and one cook) included a signed contract, job description relevant to the staff members role, induction, application form and reference checks.  All files reviewed included annual performance appraisals with eight-week reviews completed for newly appointed staff.  A register of RN practising certificates is maintained within the facility.  Practicing certificates for other health practitioners are retained to provide evidence of registration.  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for 2017.  Staff training records are maintained.  The annual training programme exceeds eight hours annually.  There is an attendance register for each training session and an individual staff member record of training.  Staff are also required to complete a series of comprehension surveys each year.  Registered nurses are supported to maintain their professional competency.  Five of ten RNs have completed their interRAI training.  There are implemented competencies specific to RNs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supports the requirements of skill mix, staffing ratios and rostering.  There is a RN and first aid trained member of staff on every shift.  Caregiver’s interviewed stated that management are supportive and approachable.  Staff interviewed advised that there are sufficient staff on duty at all times.  Interviews with residents and relatives confirm that there are sufficient staff on duty.  The village manager and clinical manager both work 40 hours per week.  There are 20 serviced apartments certified to provide rest home level of care.  There were no rest home level residents living in serviced apartments at the time of the audit.  The facility has two units, the Sunflower rest home and the Tulip hospital unit.  There is a full-time unit coordinator at the rest home and hospital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Shona McFarlane is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Sunflower rest home unit there are 39 residents in total (29 rest home and 10 hospital residents) on the morning shift: there is one RN and four caregivers, afternoon shift: there are four caregivers, night shift there are two caregivers, the RNs in the hospital oversee the rest home unit in the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In the Tulip hospital unit there are 38 residents in total (19 hospital and 19 rest home residents).  On the morning shift: there are two RNs and eight caregivers, afternoon shift there are two RNs and six caregivers, night shift there is one RN and three caregivers.  There is also an additional fluid nurse on duty in the morning shift and one lounge carer on duty in the afternoon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RN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 comprehensive admission policy.  Information gathered on admission is retained in residents’ records.  The relatives interviewed stated they were well informed upon admission.  The service has a well-developed information pack available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reviewed aligns with the services contracts for long-term and short-term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two RNs and any errors fed back to the pharmacy.  Registered nurses, enrolled nurses and senior care assistants who administer medications have been assessed for competency.  Education around safe medication administration has been provided.  Appropriate medications were signed by two medication competent staff, one of which was a RN.  The service uses an electronic medication system.  Medications were stored safely in all units.  Medication fridges are monitored weekly.  All eye drops in medication trolleys were dated on opening.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were reviewed (eight hospital and ten rest home).  Sixteen medication charts were on the electronic medication system and two were paper-based for respite care residents.  All medication charts had photographs, allergies documented and had been reviewed at least three-monthly by the GP (for permanent residents).  Records demonstrated that medications are administered as prescribed and the indication for use is documented for ‘as required’ medications.  The effectiveness of ‘as required’ medications is entered into the electronic medication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head chef is supported by one other chef on duty daily and a team of kitchen assistants.  Staff have been trained in food safety and chemical safety.  Project “delicious” has been in place almost one year.  Menu choices are decided by residents (or staff if the resident is not able) the day before, and offer a choice of three main dishes for the midday meal and two choices for the evening meal, including a vegetarian option.  Resident dislikes are accommodated.  Diabetic desserts and gluten free diets are accommodated.  The seasonal menu has been designed in consultation with the dietitian at an organisational level.  Meals are delivered in hot boxes and served from bain maries in the hospital wing and serviced apartment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Alternative foods are available on the menu or offered.  Cultural, religious and food allergies are accommodated.  Nutritious snacks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daily.  The chilled goods temperature is checked on delivery. Twice daily food temperatures are monitored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food communication books in each servery, resident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risk assessments had been completed on admission and reviewed six-monthly as part of the evaluation process.  The outcomes of interRAI assessments and risk assessments that had been triggered were reflected in the care plans reviewed.  Additional assessments such as (but not limited to) behavioural, wound and physiotherapy assessments were completed according to need.  The service has introduced the myRyman electronic resident individualised care programme.   There are a number of assessments completed that assess resident needs holistically.  The assessments generate interventions and narrative completed by the RNs that are transferred to the care plan.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outlines objectives of nursing care, setting goals, and details of implementation required to ensure the resident’s individual needs are met.  The long-term care plans of permanent residents and one respite nursing care plan included interventions to support all current needs.  The myRyman programme identifies interventions that cover a comprehensive set of goals including managing medical needs/risks.  Key symbols on the resident’s electronic home page identity current and acute needs such as (but not limited to); current infection, wound or recent fall.  There was documented evidence of resident/family/whānau involvement in the care planning process in the long-term files reviewed.  Residents and relatives interviewed confirmed they were involved in the care planning process.  Care plans included involvement of allied health professionals in the care of the resident.  This was integrated into the electronic myRyman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[sited]).  Monitoring charts are well utilised.  Short-term care plans are generated through completing an updated assessment on myRyman, and interventions are automatically updated into the care plan.  Evaluations of the assessment when resolved, closes out the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a sample of eight residents with wounds that were reviewed (six hospital, two rest home).  Wound assessments and management plans are completed on myRyman.  When wounds are due to be dressed a task is automated on the RN daily schedule.  Wound care documentation was complete, including photos for the six hospital residents with pressure injuries (three facility acquired and three hospital acquired including one stage three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access to wound specialist nurses if required.  The GP reviews wounds regularly.  New wounds were recorded in the VCare and myRyman systems.  Interventions are generated in the electronic care plan following completion of assessments.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qualified diversional therapists for 32.5 hours each with one based in the rest home wing and the other in the hospital wing.  A lounge carer in the hospital wing from 6.00 pm daily spends one-on-one time with residents as required.  There is a weekend activity coordinator who coordinates activities across both the rest home and hospital wings.  Activities staff attend on-site and DT workshops relevant to their roles.  The DTs and designated bus driver hold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but not limited to; Triple A exercises, board games, news and views, poets corner, memory lane, baking, men’s group, sensory activities including pet therapy, themed events and celebrations.  Rest home residents in serviced apartments can attend either the serviced apartment or rest home/hospital programmes.  Some activities are integrated for all residents including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activities occur as well as regular wheelchair walks around the village and the gardens.  Daily contact is made with residents who choose not to be involved in the activity programme.  Community involvement includes entertainers, speakers, volunteers and regular church services.  There are regular van outings and drives to places of interest and community events.  A mobility taxi is hired for hospital level resident outings.  The service has exceeded the required standard around accessible gardening activities for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can feedback on the programme through the resident and relative meetings and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identified that long-term care plans had been evaluated by registered nurses regularly and at least six-monthly.  Written evaluations for long-term residents describe the resident’s progress against the residents identified goals and any changes are updated on the long-term care plan.  A number of assessments (including interRAI) are completed in preparation for the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multidisciplinary (MDT) review completed that includes the RN, caregivers, DT, physiotherapist, resident, relative and any other health professionals involved in the resident’s care.  Records of the MDT review were evident in the resident files reviewed.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Waste Management - general waste, Waste Management - medical, and Waste Management - sharps.  Staff interviewed were aware of practices outlined in relevant policy.  Gloves, aprons, and goggles are available for staff in the laundry and sluice rooms.  Infection control policies state specific tasks and duties for which protective equipment is to be worn.  Chemicals are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buildings have a current building warrant of fitness that expires 8 March 2018.  The service has serviced apartments and the care centre on the ground floor and independent apartments on the first floor.  The service has a library service, hairdressers and shop for all residents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manager has been in the role three months and has a background in engineering.  A maintenance and repairs register is maintained (sighted) for all areas.  There is a 12-monthly planned maintenance schedule in place that includes the calibration of medical equipment, functional testing of electric beds and hoists and electrical testing.  An appliance asset list is maintained for facility and resident electrical equipment.  There are essential contractors available 24/7.  The maintenance manager is available on-call for urgent facility matters.  Hot water temperatures in resident areas are monitored three monthly as part of the environmental audit and are stable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storage and space in the rest home and hospital wings for safe manoeuvring of hoists within bedrooms and for hospital level lounge chairs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ground and garden staff that maintain the external areas.  Residents are able to access the outdoor gardens and courtyards safely from both wings.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 they have sufficient equipment to safely deliver the cares as outlined in the resident care plans including the following equipment; sensor mats, standing and lifting hoists, hospital level lounge chairs, mobility aids, transferring equipment, wheel-on and chair scales, pressure relieving mattresses and cushions, electric beds and ultra-low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with full toilet/shower ensuites.  There are adequate numbers of communal toilets located near the communal areas.  Toilets have privacy locks.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in both wings to allow care to be provided and for the safe use and manoeuvring of mobility aids.  Mobility aids can be managed in ensuites.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dining rooms in the rest home wing and hospital wing.  The lounges are spacious, where most activities take place.  There is an additional lounge that is available for quiet activities or family visits.  The communal areas including the grounds and internal courtyard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Laundry and cleaning audits are completed as per the Team Ryman programme.  The chemical provider conducts monthly quality control checks on the equipment and efficiency of chemicals in the laundry and housekeeping areas.  The laundry has an entry and exit door with defined clean/dirty areas.  All linen and personal clothing is laundered on-site.  The laundry operates from 8.00 am to 7.00 pm daily.  The service has a secure area for the storage of cleaning and laundry chemicals in the laundry.  A chemical spills kit is available.  Laundry chemicals are within a closed system to the washing machines.  Material safety datasheets are readily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laundry persons on duty each day.  Cleaner’s trolleys (sighted) were well equipped.  All chemical bottles have the correct manufacturer’s labels.  Cleaners trolleys are kept in locked cupboards when not in use.  Residents interviewed state they are happy with the cleanliness of their bedrooms and communal areas.  Other feedback is received through resident meetings, annual surveys (resident and relative) and the results of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Staff attended emergency and disaster management training in October 2017.  Emergency management, first aid and CPR are included in the mandatory in-service training programme and staff annual comprehension competency.  There is a first aid trained staff member on every shift and accompanying residents on outings.  Shona McFarlane has an approved fire evacuation plan and fire drills have occurred six monthly.  There are three civil defence kits in the facility and adequate water storage on-site.  Smoke alarms, sprinkler system and exit signs are in place.  The service has alternative cooking facilities (four BBQs) and a generator available in the event of a power failure.  Emergency lighting is in place for four hours.  Call bells are in residents’ rooms, lounge areas, and toilets/bathrooms.  The facility is secured at night.  The service utilises security cameras and an intercom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is ceiling heating throughout the facility.  New air conditioning units have recently been installed.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are appropriate for the size and complexity of the service.  The infection prevention and control committee are combined with the health and safety committee, which meets bi-monthly.  The full facility meetings also include a discussion of infection prevention and control matters.  The programme is set out annually from head office and directed via the quality programme.  The programme is reviewed annually, and a six-month analysis is completed by the infection control and prevention officer (clinical manager), which is reported to the governing body.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Residents and staff are offered the annual influenza vaccine.  There are adequate hand sanitisers and signage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cross-section of staff from areas of the service.  The infection control officer has completed infection control education via teleconference May 2017.  She attends a six-monthly teleconference with other Ryman infection control and prevention officers.  The facility also has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orientation/induction package includes specific training around hand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hygiene and standard precautions and training is provided both at orientation and as part of the annual training schedule.  All staff complete hand hygiene audits.  Infection control is an agenda item on the full facility and clinical meeting agenda.  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and are displayed on the staff noticeboard.  The infection prevention and control programme links with the quality programme including internal audits.  There is close liaison with the GPs and laboratory service that advise and provide feedback and information to the service.  Systems in place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using restraints and one resident using two enablers.  The resident file for the resident using enablers (bed rail and lap belt) reflects a restraint/enabler assessment and voluntary consent by the resident.  Staff training has been provided around restraint minimisation and enablers, falls prevention, and the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142"/>
        <w:gridCol w:w="76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September 2016 the service identified an improvement was required around end of life (EOL) care following two relative concerns on communication and pain relief.  The service has achieved its aim to provide a holistic approach to EOL including consultation with families, hospice and specialists.  Positive feedback on EOL care has increased the services profile in the community and hospice for providing best palliative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achieve this, a plan was developed and implemented that identified areas of improvement around consultation and communication and timely pain relief to ensure holistic care enhanced the resident and family end of life experience.  Interventions included; developing a stronger partnership with hospice, all RNs, care assistants and DTs attended palliative care education sessions, a palliative care kit was set up including personalised linen, bedding, candles, CD player and music which facilitates a calm peaceful environment, family/resident meetings with the hospice team, GP and clinical staff as soon as the resident was identified for EOL care and RNs involved in all aspects of care and communication as soon as resident became palliative.  There has been improved pro-active prescribing for optimal pain management.  The GP interviewed confirmed palliative care including pain relief is very well done at Shona McFarlane.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its goal to provide best palliative care.  Evidence has been gathered by way of feedback from bereaved families (verbal and written), the folder of cards and letters of thanks from families (sighted), GP interview and staff interviews.  Correspondence from hospice confirms the working relationship between hospice and Shona McFarlane has been strengthened.  Hospice has a high level of confidence in the palliative/EOL care that is provided by staff at Shona McFarlane.  Records show there have been seven referrals (many complex cares) from hospice over the last three months to Shona McFarlane.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(QIP) is implemented where opportunities for improvements are identified.  QIPs are regularly reviewed and evaluated.  One QIP reviewed in particular reflected a significant reduction in challenging behaviour episodes.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collated is used to identify any areas that require improvement.  Clinical indicator data has individual reference ranges for acceptable limits and levels of incidents and infections.  Corrective action plans that have been implemented and evaluated around the reported number of residents challenging behaviour episodes reflected significant improvements.  Challenging behaviour episodes were identified in August 2016 as an area that required improvement (1.0 per 1000 bed nights).  A plan was developed, which included identifying residents at risk of challenging behaviour episodes, implementation of intentional rounding to anticipate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Challenging behaviour education for staff occurred in September 2016 and April 2017.  Challenging behaviour analysis was reviewed monthly and discussed at clinical/RN and staff meetings.  A review of the benchmarked data for the 12-month period ending in August 2017 evidenced an average rate that is consistently below the Ryman benchmarked target (0.3/1000 bed nights).  Shona McFarlane had the lowest challenging behaviour rate in the Ryman group for the period from 1 September 2016 to 31 August 2017.  Shona McFarlane also has had zero episodes of challenging behaviour between 1 August 2017 and 12 December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introduced a number of systems to ensure residents nutritional needs are met.  These include monitoring and acting on weight loss including prompt referrals to dietitians when the need is identified, ensuring the kitchen is aware of all current dietary requirements and kitchen staff liaising closely with residents and staff to improve meal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February 2016 the service commenced a programme to improve the meal service following feedback that residents were not enjoying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 was developed and implemented to improve the food service.  Interventions including: the chefs rotating through each dining room at mealtimes to serve the meals, so they could identify what was not being enjoyed and make changes; chefs reading and signing the communication books located in each servery where staff, residents and families can leave comments on meals; chefs talking to residents on at least a weekly basis; working with food suppliers to improve the raw quality of the food provided;, sourcing a supplier for high food value and flavoured pureed foods, and improving the dining experience including staff etiquette for residents.  Project delicious was implemented with four-week rotating menus (summer and winter) providing more meal choices which also caters for a vegetarian and gluten free option.  A second chef on duty has been employed to ensure the aim of project delicious options can be met.  The midday meal provides three main options and two options of desserts.  Dinner provides a choice of two options.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these interventions, hospital resident surveys identified the greatest improvement in meal satisfaction in the 2017 resident survey from a score of 3.13 in 2016 to 4.00 in 2017 and this improved for rest home residents from 3.67 in 2016 to 3.81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Shona McFarlane continues to implement the Ryman organisational ‘Engage’ activities programme.  There is the flexibility to add activities identified by residents as interests or recreational preferences.  The service has been successful in introducing a gardening activity designed for hospital level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February 2017 the activities staff and residents at Shona McFarlane identified that gardening activities could be made more enjoyable with greater participation for hospital level residents if the gardens and garden pots were more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 achieve this, a plan was developed and implemented that involved the residents and community.  Residents, family and staff initiated fundraising events for the purchase of timber to build specifically designed raised gardens that are mobile and built to fit wheelchairs and chairs to enable hospital level residents to participate in the planting and gardening activity.  A qualified builder and several sponsors volunteered time and materials.  The garden club now has 15 members who proudly wear their garden club T-shirts and meet regularly to discuss the planting calendar.  The garden beds (viewed) are located in the Tulip (hospital) wing courtyard and were fully planted with produce including tomatoes and many herbs.  Residents enjoy the benefits of a meaningful activity, fresh air and exposure to Vitamin D.  The garden produce is donated to the cooking club with all residents being able to enjoy the baking and shared salads.  The garden club now includes rest home residents and are of interest to visitors on-site and the village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of resident enjoyment and positive relative feedback in resident and relative meeting minutes (sighted).  Verbal feedback was received on the day of audit from resident and relative interviews.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Shona McFarlane Retirement Village Limited - Shona McFarlane Retirement Village</w:t>
    </w:r>
    <w:bookmarkEnd w:id="58"/>
    <w:r>
      <w:rPr>
        <w:rFonts w:cs="Arial"/>
        <w:sz w:val="16"/>
        <w:szCs w:val="20"/>
      </w:rPr>
      <w:tab/>
      <w:t xml:space="preserve">Date of Audit: </w:t>
    </w:r>
    <w:bookmarkStart w:id="59" w:name="AuditStartDate1"/>
    <w:r>
      <w:rPr>
        <w:rFonts w:cs="Arial"/>
        <w:sz w:val="16"/>
        <w:szCs w:val="20"/>
      </w:rPr>
      <w:t>11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