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Concept E Limited - Eversleigh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Concept 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Eversleigh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2017</w:t>
      </w:r>
      <w:bookmarkEnd w:id="7"/>
      <w:r w:rsidRPr="009418D4">
        <w:rPr>
          <w:rFonts w:cs="Arial"/>
        </w:rPr>
        <w:tab/>
        <w:t xml:space="preserve">End date: </w:t>
      </w:r>
      <w:bookmarkStart w:id="8" w:name="AuditEndDate"/>
      <w:r w:rsidR="00A4268A">
        <w:rPr>
          <w:rFonts w:cs="Arial"/>
        </w:rPr>
        <w:t>14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To verify all 38-beds as suitable for dual-purpose use (hospital and rest home)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Eversleigh Hospital is owned and operated by Golden E Concepts Limited.  The service provides care for up to 38 residents requiring hospital and rest home level care.  On the day of the audit, there were 26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This audit also included verifying a further 33 beds at Eversleigh as suitable as dual-purpose beds (currently five identified as dual-purpose).</w:t>
      </w:r>
    </w:p>
    <w:p w:rsidRPr="00A4268A">
      <w:pPr>
        <w:spacing w:before="240" w:line="276" w:lineRule="auto"/>
        <w:rPr>
          <w:rFonts w:eastAsia="Calibri"/>
        </w:rPr>
      </w:pPr>
      <w:r w:rsidRPr="00A4268A">
        <w:rPr>
          <w:rFonts w:eastAsia="Calibri"/>
        </w:rPr>
        <w:t xml:space="preserve">The facility manager has recently been employed she has health management experience and works full time.  She is supported by the previous manager who has considerable experience in aged care and also a clinical nurse manager. </w:t>
      </w:r>
    </w:p>
    <w:p w:rsidRPr="00A4268A">
      <w:pPr>
        <w:spacing w:before="240" w:line="276" w:lineRule="auto"/>
        <w:rPr>
          <w:rFonts w:eastAsia="Calibri"/>
        </w:rPr>
      </w:pPr>
      <w:r w:rsidRPr="00A4268A">
        <w:rPr>
          <w:rFonts w:eastAsia="Calibri"/>
        </w:rPr>
        <w:t xml:space="preserve">Residents, families and the general practitioner interviewed commented positively on the standard of care and services.  </w:t>
      </w:r>
    </w:p>
    <w:p w:rsidRPr="00A4268A">
      <w:pPr>
        <w:spacing w:before="240" w:line="276" w:lineRule="auto"/>
        <w:rPr>
          <w:rFonts w:eastAsia="Calibri"/>
        </w:rPr>
      </w:pPr>
      <w:r w:rsidRPr="00A4268A">
        <w:rPr>
          <w:rFonts w:eastAsia="Calibri"/>
        </w:rPr>
        <w:t>Ten of the fourteen shortfalls identified at their previous certification audit have been addressed.  These relate to; post audit action plans, notifications, neurological observations, annual performance reviews, recruitment of staff, orientation of staff, admission agreements, the interRAI process, and some aspects of restraint.  There continues to be improvements required around: completing internal audits, staff education, and aspects of restraint.</w:t>
      </w:r>
    </w:p>
    <w:p w:rsidRPr="00A4268A">
      <w:pPr>
        <w:spacing w:before="240" w:line="276" w:lineRule="auto"/>
        <w:rPr>
          <w:rFonts w:eastAsia="Calibri"/>
        </w:rPr>
      </w:pPr>
      <w:r w:rsidRPr="00A4268A">
        <w:rPr>
          <w:rFonts w:eastAsia="Calibri"/>
        </w:rPr>
        <w:t>This audit has also identified four areas requiring improvement around: infection control surveillance, care planning and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disclosure is implemented by the service.  Families are regularly updated regarding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Eversleigh Hospital has business plan and a quality improvement with goals for the service that have been regularly reviewed.  There is a,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in place.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have a care plan in place which has been developed by registered nurses who also have responsibility for maintaining and reviewing care plans.  Care plans reviewed were individually developed with family/whānau involvement where appropriate, they are evaluated six-monthly or more frequently when clinically indicated.  There is an appropriate medication management system in place.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if fitness, expiring 1st June 2018.</w:t>
      </w:r>
    </w:p>
    <w:p w:rsidRPr="00A4268A">
      <w:pPr>
        <w:spacing w:before="240" w:line="276" w:lineRule="auto"/>
        <w:rPr>
          <w:rFonts w:eastAsia="Calibri"/>
        </w:rPr>
      </w:pPr>
      <w:r w:rsidRPr="00A4268A">
        <w:rPr>
          <w:rFonts w:eastAsia="Calibri"/>
        </w:rPr>
        <w:t>A review of staffing, the rooms, and communal areas evidences that the service is resourced appropriately to safely provide 38 dual service beds (hospital and rest home).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manage restraint and enablers to ensure they are safely used when required, and that enabler use is voluntary.  There were nine residents using restraints and three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1"/>
        <w:gridCol w:w="1280"/>
        <w:gridCol w:w="99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using a complaints’ register.  Two complaints were reviewed for Octobers 2017 (the manager informed this was all the complaints for 2017).  Both complaints have been managed in line with Right 10 of the Code.  A review of complaints documentation evidenced resolution of the complaint to the satisfaction of the complainant and advocacy offered.  Residents (one rest home and two hospital) and family members advised that they are aware of the complaints procedure.  Discussion around concerns, complaints and compliments was evident in facility meeting minutes.  All 11-staff interviewed were able to describe the process around reporting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the policy and process around open disclosure alerts staff to their responsibility.  The facility manager and supporting manager confirmed family are kept informed.  Relatives (two hospital and one rest home) stated they are notified promptly of any incidents/accidents.  Residents/relatives have the opportunity to feedback on service delivery through annual surveys and open-door communication with management.  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 related incident forms reviewed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Eversleigh is owned and operated by Golden Concepts E Limited.  Golden Concepts E Limited purchased the service in May 2015.  The service provides rest home and hospital level care for up to 38 residents, which includes three rest home beds in the serviced apartments.  This audit also verified all 38-beds as suitable for dual purpose use (hospital and rest home) including three beds in the serviced apartments (which are on the same floor).  Since the previous audit, this has increased dual service beds from five to 38 and has included two additional resident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26 residents; one rest home level (in the serviced apartments) and 25 hospital level (including one respite resident).  All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regularly.  The service has quality goals, which have been reviewed regularly.  The facility manager is new to the service (one month) however the previous manager remains employed in a supporting role (she has significant experience in health management).  The new manager has previous experience managing health services.  The new manager is supported by a clinical nurse manager (registered nurse), with a background in aged care.  </w:t>
            </w:r>
          </w:p>
          <w:p w:rsidR="00EB7645" w:rsidRPr="00BE00C7" w:rsidP="00BE00C7">
            <w:pPr>
              <w:pStyle w:val="OutcomeDescription"/>
              <w:spacing w:before="120" w:after="120"/>
              <w:rPr>
                <w:rFonts w:cs="Arial"/>
                <w:b w:val="0"/>
                <w:lang w:eastAsia="en-NZ"/>
              </w:rPr>
            </w:pPr>
            <w:r w:rsidRPr="00BE00C7">
              <w:rPr>
                <w:rFonts w:cs="Arial"/>
                <w:b w:val="0"/>
                <w:lang w:eastAsia="en-NZ"/>
              </w:rPr>
              <w:t>The new manager has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Golden Concepts E Limited has an overall business/strategic plan and Eversleigh has a facility quality and risk management programme in place for the current year.  The plan is robust and appropriate for the change to all dual service beds (hospital and rest home).  The manager reports three monthly to the board.  There is a service improvement plan in place which is reviewed and updated regularly.</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caregivers, four registered nurses, one diversional therapist and the head cook and the house keeper) confirmed they are made aware of any new/reviewed policies.  There are sufficient clinical policies/procedures to support both rest home and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monthly RN meetings, monthly staff/quality meetings, kitchen meetings, and also resident and relative meetings.  Meetings minutes sighted continue to evidence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Not all internal audits have been completed as scheduled.  This is an area that continues to require improvement.  Corrective actions are developed, implemented and signed off,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(new) manager is responsible for health and safety education, internal audits and non-clinical accident/incident investigation.  There is a current hazard register.  Staff confirmed they are kept informed around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(new) facility manager investigates accidents and near misses and analysis of incident trends occurs.  There is a discussion of incidents/accidents at monthly staff / quality meetings.  The clinical nurse manager conducts clinical follow-up of residents.  Five residents, (falls related) incident forms sampled demonstrated that appropriate clinical follow-up and investigation occurred following incidents.  Neuro observations had been completed as needed.  This is an improvement on the previous audit.  The facility manager was able to discuss the requirement to notify relevant authorities in relation to all essential notifications, this is an improvement on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This includes that the recruitment and staff selection process requires that relevant checks be completed to validate the individual’s qualifications, experience and veracity.  A copy of practising certificates is kept.  Five staff files were reviewed (one registered nurse and four caregivers) and evidence that reference checks were completed before employment is offered.  The service has a comprehensive orientation programme in place that provides new staff with relevant information for safe work practice.  All five files documented annual appraisals, a job description, and an orientation on employment.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registered nurses are able to attend external training, including sessions provided by the local DHB.  Two of the five registered nurses have completed interRAI training with one more booked for training in January.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training takes place and they are given training to care for resident’s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schedule in place, however not all training has been provided and attendance is low when training is provided.  This is continued finding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that determines staffing levels and skill mixes for safe service delivery.  A roster provides sufficient and appropriate coverage for the effective delivery of care and support.  The roster is flexible to adapt to changes in resident need and / or numbers including ensuring residents in the serviced apartments are supported.  Residents and relatives stated there were adequate staff on duty at all times.  Staff stated they feel supported by the RN, and clinical and facility manager who respond quickly to after-hour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available on call weekends and after hours and can contact the clinical nurse manager as required for clinical concerns.  The facility manager (non-clinical) and the clinical nurse manager/RN are on duty during the day Monday to Friday.  There is a RN on duty 24 hours.  There are five caregivers on morning shifts plus an additional caregiver for a ‘floating shift’.  There are two long shifts and two short shifts on afternoon shifts and one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described how staffing would be adjusted with the increase in dual-purpose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received information prior to admission and had the opportunity to discuss the admission agreement with the manager.  The amendments made in 2015 to clause D13.3 of the ARRC contract, regarding refund timeframes are included in the admission agreement currently in use by the service.  Four long-term resident files reviewed (one was a respite) all had an appropriate admission agreement in place.  This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Medication management policy   All staff that administer medication have received medication management training and competencies are completed.  Not all medication is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packaged medication management system for the packaging of all tablets.  Medication packs are check and signed on delivery form the pharmacy.  Ten medication charts were reviewed.  Not all medication charts reviewed evidenced photographs and not all had been signed as given to ensure clarity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practitioners wrote all medication charts correctly and there was evidence of three monthly reviews by the GP, however one resident had oxygen to be given as a care plan intervention, this was not documented in the medication chart.  There were no residents self-medicating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 site by the two cooks and four kitchen hands.  All kitchen staff have completed food safety training.  The menu has been approved by a dietitian.  The dietitian also visits each month to review special menus (sighted).  A food services manual is available to ensure that all stages of food delivery to residents comply with standards, legislation and guidelines.  All fridges and freezer temperatures are recorded daily on the recording sheet sighted.  Food temperatures are recorded daily.  All food is served directly from the kitchen to residents in the dining room or to their rooms as required.  A tray service is available if required by residents.  All food in the freezer and fridge was labelled and dated.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 nutritional profile developed on admission, which identifies their dietary requirements, likes and dislikes in association with a dietitian.  Changes to residents’ dietary needs are communicated to the kitchen staff.  Alternative meals can be accommodated if needed.  Residents’ weights are recorded routinely each month or more frequently if required.  Residents and relatives interviewed reported satisfaction with food choices and meals, which were well presented.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resident’s plan of care.  The interRAI assessment process and paper based assessments informs the development of the care plan.  Care plans sampled were reviewed at six monthly intervals (for long-term residents).  The staff interviewed stated that they have sufficient equipment and supplies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One palliative resident file sampled had a plan of care with all appropriate needs documented.  The respite resident had a care plan in place.  Not all care plan interventions or care delivered was documented in care plans.  (Link also to 2.2.3.4 for restraint documentation and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residents with nine wounds at the time of the audit.  Management plans and documented reviews were in place for six of seven wounds, not all assessments were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their satisfaction with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employ an activities coordinator who works part-time over five days.  Each resident has an individual activities assessment on admission and from this information, an individual activities plan is developed as part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varied to meet the needs of both higher functioning residents and those that require more assistance.  The activity coordinator described how the programme has been adapted over time to ensure higher needs residents have appropriate activities provided.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free to choose whether they wish to participate in the group activities programme or their individual plan.  Participation is monitored.  Residents enjoy activities including fortnightly bus trips, art sessions and entertainers.  Walking sessions are provided in association with the visiting physio as well as an exercise programme.  Local clergy visit those residents who wish them to visit.  All long-term resident files sampled had a recent activity plan within the care plan and this was evaluated at least monthly and also when the care plan was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This was evidenced in one resident being re- assessed using interRAI and referred for hospital level care.  Long-term care plans are then evaluated and rewritten.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displays a current building warrant if fitness, expiring 1st June 2018.  This audit also included verifying all their beds to provide dual-purpose (hospital and rest home) this includes three apartments.  A review of staffing, equipment, observation of the environment, and communal area’s evidences that the environment is appropriate, and the service is resourced appropriately to safely prove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policy.  An RN is the designated infection control coordinator.  Monthly infection data is collected for all infections based swab results and pharmacy reports.  Surveillance of infections is entered onto a monthly resident infection data sheet and then analysed and evaluated.  Not all infections are collected.  Outcomes and actions are reported to the quality meeting.  If there is an emergent issue, it is acted upon in a timely manner.  Since the last audit, staff report there have been no infectious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nine residents using a restraint, six with bedrails and three with lap belts.  There were three residents using an enabler on the day of audit.  Enablers had been classified correctly, this is an improvement on the previous audit.  The files sampled document that enabler use is voluntary.  Policies and procedures include definition of restraint and enabler that are congruent with the definition in NZS 8134.0.  Staff education on RMSP/enablers has been provided (link to 1.2.7.5 for low attendance).  Restraint has been discussed as part of quality meetings.  A registered nurse is the designated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policy requires that assessments are undertaken for residents who require restraint or enabler interventions.  The restraint coordinator, the resident and/or their representative and a medical practitioner are involved in the assessment and consent process.  In the four restraint files reviewed, assessments were not fully completed, one did not have an assessment and the process did not always document evidence of discussion of the risks associated with enabler or restraint use or consideration of other methods prior to the use of restraint.  This is a continued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Not all files reviewed had a completed assessment form and care plan that reflected risk (link to 2.2.2.1).  Care plans reviewed did not all document the restraint in place and/ or the monitoring needed.  Monitoring forms that included regular monitoring at the frequency determined by the risk level were not present in all files reviewed.  The service has a restraint and enablers register, which is updated each month.  This is a continued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reviews restraint as part of the internal audit and reporting cycle and as part of quality/ staff meetings.  Reviews are completed six monthly or sooner if a need is identified.  The restraint coordinator completes reviews.  Any adverse outcomes are reported at the monthly quality and health and safety meetings.  An annual review of restraint was currently in progress at the time of audit.  This is an improvement on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11"/>
        <w:gridCol w:w="1280"/>
        <w:gridCol w:w="2575"/>
        <w:gridCol w:w="3681"/>
        <w:gridCol w:w="1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delivery.  There is an audit schedule in place.  Audits undertaken had an action plan as needed and had been actioned and reported to meetings. Not all internal audits have been completed as scheduled.  This is an area that continues to require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audits have been completed according to schedule.  Examples include four audits for October and two for November.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audits are undertaken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education planner that has scheduled education to cover the requirements of the Age Related Resident Contract.  Not all topics outlined on the schedule have been delivered.  Where training has occurred, staff attendance has been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training has been delivered for 2017 and since the previous audit, examples include; chemical safety, abuse and neglect, residents’ rights, and cultural training.    </w:t>
            </w:r>
          </w:p>
          <w:p w:rsidR="00EB7645" w:rsidRPr="00BE00C7" w:rsidP="00BE00C7">
            <w:pPr>
              <w:pStyle w:val="OutcomeDescription"/>
              <w:spacing w:before="120" w:after="120"/>
              <w:rPr>
                <w:rFonts w:cs="Arial"/>
                <w:b w:val="0"/>
                <w:lang w:eastAsia="en-NZ"/>
              </w:rPr>
            </w:pPr>
            <w:r w:rsidRPr="00BE00C7">
              <w:rPr>
                <w:rFonts w:cs="Arial"/>
                <w:b w:val="0"/>
                <w:lang w:eastAsia="en-NZ"/>
              </w:rPr>
              <w:t>ii) Attendance has been less than 50 % for a selection of training, examples include; management of challenging behaviour, restraint, end of life, and emergency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education schedule is fully implemented and education is provided to cover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 process is put in place to ensure that all staff attend mandatory education and where attendance is low an education follow-up plan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comply with medication legislation and guidelines.  Medicines are appropriately stored in accordance with relevant guidelines and legislation.  The new manager had commenced a system of checking all medication on a regular basis, however there were expired medications sited in the fridge and medication trolley.  Not all medication charts had photo ID, and signing of medication charts did not ensure clarity regarding what was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was an expired vaccine (not normally stocked by the service) in the fridge and expired cream in the medication trolley.  (ii) Non-packaged medication was signed as a group rather than individually, making it difficult to be sure what was given. (iii) Two charts had no photo ID.  (iv) Oxygen was a prescribed intervention in the care plan, but not prescribed.  It was not clear if the resident may had had it prescribed in the past.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(i)Fully implement the checking process to ensure expired medications are not in stock.  (ii) Ensure that non-packaged medications are signed for individually.  (iii) Ensure medication charts have photo ID.  (iv) Ensure that medication charts and care plans reflect current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seven documented wounds, this includes four skin tears/ scratches, and three chronic ulcers.  Six of seven wounds have a management plan, not all assessments were fully complete.  All five resident files had a care plan in place, however not all interventions reflected current assessed needs.  Registered nurses (RNs) and caregivers follow the care plan and the RNs report progress against the care plan each shift.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(i)Wound care: one hospital level resident had no wound plan in place; one hospital level resident had no reference to the wound in the long-term care plan (or short-term care plan).  Six of eight wound assessments are not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 Two of three hospital and one of two rest home did not have all required interventions documented in the long-term care plans including; one resident continence needs, the need to two carer assist, behaviour interventions and monitoring, air mattress settings and sensor mat; One resident did not have the interventions for increasing frailness and the risk associated with warfarin use documented; one resident did not have location of pain and nursing interventions documented and one resident did not have interventions for choking risk.  (Link also to 1.3.12.1 for one resident with interventions for oxygen therapy in the care plan that is not prescribed in the medication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wound management plans are documented for all identified wounds.  Ensure that all wounds have a formal assessment and plan and that there are interventions documented in the short-term care plans or the long-term care plan updated to reflect the wound.</w:t>
            </w:r>
          </w:p>
          <w:p w:rsidR="00EB7645" w:rsidRPr="00BE00C7" w:rsidP="00BE00C7">
            <w:pPr>
              <w:pStyle w:val="OutcomeDescription"/>
              <w:spacing w:before="120" w:after="120"/>
              <w:rPr>
                <w:rFonts w:cs="Arial"/>
                <w:b w:val="0"/>
                <w:lang w:eastAsia="en-NZ"/>
              </w:rPr>
            </w:pPr>
            <w:r w:rsidRPr="00BE00C7">
              <w:rPr>
                <w:rFonts w:cs="Arial"/>
                <w:b w:val="0"/>
                <w:lang w:eastAsia="en-NZ"/>
              </w:rPr>
              <w:t>(ii)Ensure that care plans document interventions for all resident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Monthly collection and collation of infections is implemented.  The results are reported through facility meetings.  Service policies document the classification identification and reporting of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IC coordinator collects infections based on swab results and pharmacy reports.  The service IC definition process is not used.  This means that only infections with a positive swab result or antibiotics are collected as part of infection surveillance data collected.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policy is followed, and all infections collected, collated and reported.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undertakes an assessment for residents requiring the use of a restraint or enabler; however, the assessments were not always fully completed.  One file did not have an assessment, the risks associated with the use of the restraint or enabler were not always documented and consideration of alternatives to restraint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four assessments did not document consideration of the risks associated with restraint. (ii) One (lap belt) did not have an assessment.  (iii)) Four of four did not document consideration of alternatives prior to the use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with restraint have an assessment and assessments for restraint use identify and document the risks associated with the use of the restraint or enabler and document consideration of alternatives prior to the use of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using a restraint or enabler is required to have a restraint care plan in place; however, not all residents using a restraint, or an enabler had a restraint care plan in place.  Not all monitoring required whilst using a restraint was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four files did not include the use of restraint in the care plan.  (ii) Three of four files did not have documented monitoring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care and monitoring required for safe use of restraint and that monitoring is documented according to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Concept E Limited - Eversleigh Hospital</w:t>
    </w:r>
    <w:bookmarkEnd w:id="58"/>
    <w:r>
      <w:rPr>
        <w:rFonts w:cs="Arial"/>
        <w:sz w:val="16"/>
        <w:szCs w:val="20"/>
      </w:rPr>
      <w:tab/>
      <w:t xml:space="preserve">Date of Audit: </w:t>
    </w:r>
    <w:bookmarkStart w:id="59" w:name="AuditStartDate1"/>
    <w:r>
      <w:rPr>
        <w:rFonts w:cs="Arial"/>
        <w:sz w:val="16"/>
        <w:szCs w:val="20"/>
      </w:rPr>
      <w:t>13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