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Selwyn Oaks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Selwyn Oaks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2017</w:t>
      </w:r>
      <w:bookmarkEnd w:id="7"/>
      <w:r w:rsidRPr="009418D4">
        <w:rPr>
          <w:rFonts w:cs="Arial"/>
        </w:rPr>
        <w:tab/>
        <w:t xml:space="preserve">End date: </w:t>
      </w:r>
      <w:bookmarkStart w:id="8" w:name="AuditEndDate"/>
      <w:r w:rsidR="00A4268A">
        <w:rPr>
          <w:rFonts w:cs="Arial"/>
        </w:rPr>
        <w:t>12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Selwyn Oaks is a Selwyn Foundation aged care facility located in Auckland.  The facility is certified to provide rest home and hospital (geriatric and medical) levels of care for up to 66 residents.  On the day of audit there were 47 residents.  Eighteen rooms have been decommissioned in the current facility.  Plans are in place to move to a new (adjacent) facility in February 2018.</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experienced village manager is responsible for the entire retirement village.  The care home is overseen by the care manager who is a registered nurse with aged care experience and has been recently employed.   </w:t>
      </w:r>
    </w:p>
    <w:p w:rsidRPr="00A4268A">
      <w:pPr>
        <w:spacing w:before="240" w:line="276" w:lineRule="auto"/>
        <w:rPr>
          <w:rFonts w:eastAsia="Calibri"/>
        </w:rPr>
      </w:pPr>
      <w:r w:rsidRPr="00A4268A">
        <w:rPr>
          <w:rFonts w:eastAsia="Calibri"/>
        </w:rPr>
        <w:t xml:space="preserve">Residents, families and the general practitioner interviewed commented positively on the standard of care and services provided at Selwyn Oaks.  </w:t>
      </w:r>
    </w:p>
    <w:p w:rsidRPr="00A4268A">
      <w:pPr>
        <w:spacing w:before="240" w:line="276" w:lineRule="auto"/>
        <w:rPr>
          <w:rFonts w:eastAsia="Calibri"/>
        </w:rPr>
      </w:pPr>
      <w:r w:rsidRPr="00A4268A">
        <w:rPr>
          <w:rFonts w:eastAsia="Calibri"/>
        </w:rPr>
        <w:t>Three of the six shortfalls identified as part of the previous certification audit have been addressed.  These include confidentiality, assessment and interRAI process.</w:t>
      </w:r>
    </w:p>
    <w:p w:rsidRPr="00A4268A">
      <w:pPr>
        <w:spacing w:before="240" w:line="276" w:lineRule="auto"/>
        <w:rPr>
          <w:rFonts w:eastAsia="Calibri"/>
        </w:rPr>
      </w:pPr>
      <w:r w:rsidRPr="00A4268A">
        <w:rPr>
          <w:rFonts w:eastAsia="Calibri"/>
        </w:rPr>
        <w:t>Three previous findings continue around: the documentation of the quality process, care planning and services interventions.</w:t>
      </w:r>
    </w:p>
    <w:p w:rsidRPr="00A4268A">
      <w:pPr>
        <w:spacing w:before="240" w:line="276" w:lineRule="auto"/>
        <w:rPr>
          <w:rFonts w:eastAsia="Calibri"/>
        </w:rPr>
      </w:pPr>
      <w:r w:rsidRPr="00A4268A">
        <w:rPr>
          <w:rFonts w:eastAsia="Calibri"/>
        </w:rPr>
        <w:t>This audit has identified one further area requiring improvement around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This includes if a resident is involved in an incident or has a change in their current health.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care manager/registered nurse are responsible for the day-to-day operations.  Goals are documented for the service with evidence of regular reviews.  A quality and risk management programme is established.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twenty-four hours a day, seven days a week.  Residents and families report that staffing levels are adequate to meet the needs of the residents.  The residents’ files are kept secure.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and documented on both paper-based and a software system by the registered nurses who also have responsibility for maintaining and reviewing care plans.  Care plans reviewed were individually developed with the resident, and family involvement is included where appropriate, they are evaluated six-monthly or more frequently when clinically indicated.  There is a medication management system in place that follows appropriate administration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 service has appropriate procedures and documents for the safe assessment, planning, monitoring and review of restraint and enablers.  No residents were using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0"/>
        <w:gridCol w:w="1280"/>
        <w:gridCol w:w="101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seven residents (four hospital level and three rest home level) and relatives confirmed their understanding of the complaints process.  Eight staff interviewed (three care partners (caregivers), three registered nurses (RNs), one activities staff, one kitchen staff)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written and verbal complaints, dates and actions taken.  Complaints are being managed in a timely manner, meeting requirements determined by the Health and Disability Commissioner (HDC).  There is evidence of lodged complaints being discussed in the RN meetings but not in the combined staff meetings (link 1.2.3.6).  All 22 complaints lodged in 2017 (year to date) were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ten adverse events reviewed met this requirement.  Family members (two hospital level)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Oaks is a Selwyn Foundation aged care facility located in Auckland.  The facility is certified to provide rest home and hospital (geriatric and medical) levels of care for up to 66 residents.    </w:t>
            </w:r>
          </w:p>
          <w:p w:rsidR="00EB7645" w:rsidRPr="00BE00C7" w:rsidP="00BE00C7">
            <w:pPr>
              <w:pStyle w:val="OutcomeDescription"/>
              <w:spacing w:before="120" w:after="120"/>
              <w:rPr>
                <w:rFonts w:cs="Arial"/>
                <w:b w:val="0"/>
                <w:lang w:eastAsia="en-NZ"/>
              </w:rPr>
            </w:pPr>
            <w:r w:rsidRPr="00BE00C7">
              <w:rPr>
                <w:rFonts w:cs="Arial"/>
                <w:b w:val="0"/>
                <w:lang w:eastAsia="en-NZ"/>
              </w:rPr>
              <w:t>Forty-seven residents were living at the facility during this audit (15 rest home level and 32 hospital level).  All residents were on the aged related care contract (ARRC).  Eleven beds are identified as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rooms have been decommissioned in the current facility.  Plans are in place to move to a new (adjacent) facility in February 2018.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strategic plan describes their vision, values and objectives.  The annual business plan (2017) for Selwyn Oaks documents goals that are linked to the overall strategic plan.  Goals are regularly reviewed by the management team and are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responsible for the entire retirement village.  He is supported by a care manager/RN, who is responsible for the day to day operations of the care facility.  She has been in her role for one year and has four years of aged care experience in New Zealand.  An operations manager/RN provides oversight to the Selwyn care facilities.  The village manager and care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is documented.  Discussions with the managers (care manager/RN, village manager and operations manager/RN), the GP and staff reflected their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standard operating procedures and associated implementation systems to provide a good level of assurance that it is meeting accepted good practice and adhering to relevant standards - including those standards relating to the Health and Disability Services (Safety) Act 2001.  The service's standard operating procedures are reviewed at a national level by the clinical governance group with input from facility staff every two years.  Clinical guidelines are in place to assist care staff.  Updates to standard operating procedures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processes to collect, analyse and evaluate data, which is utilised for service improvements.  Results are communicated to the RNs as evidenced in meeting minutes, but are not documented in the combined staff meeting minutes.  Meeting minutes are held in the staff room but were missing three months of information (June – August).  The care home manager reported that she also puts graphs in the staff room to keep staff informed, but these were not available during the audit.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Minutes are maintained and reflect resolution of issues raised.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and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Individual incident/accident reports are completed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ten incident/accident forms for October and November 2017 identified that forms are fully completed and include follow up by a registered nurse.  Neurological observations are completed for any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 was able to identify situations that would be reported to statutory authorities including (but not limited to): infectious diseases, serious accidents and unexpected death.  This information is also posted in the village manager’s office.  No section 31 notifications have been required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(two registered nurses, three care partners) included the recruitment process of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copy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Aspects of training are provided during full day training sessions.  Incidental training is provided according to identified need and at staff request.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implemented competencies for registered nurses including (but not limited to): medication competencies, restraint competencies, controlled drug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 care manager works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There are five wings with higher staff ratios in the wings with hospital level residents.  Two RNs are staffed on the AM shift, one on the PM shift and one on the night shift.  Six care partners cover the AM shift, seven cover the PM shift and two cover the night shift.  Agency staff are used to cover staff absences when permanent staff or staff from the Selwyn bureau are unavailable.  The care manager reports that since the commencement of a new roster in July 2017, more permanent staff work over the weekend and this has reduced the number of agency staff required on weekends and improved the continuity of care to residents.</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Information containing personal resident information is kept confidential and could not be viewed by other residents or members of the public.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(standard operating procedures) in place for all aspects of medication management, including self-administration.  The services uses a computerised system for all medication.  RN’s check all medications on delivery against the medication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the administering of medications and have completed annual medication competencies and annual medication education.  Care partners who act as a second checker also complete a medication competency.  There were no self-medicating residents on the day of audit.  The medication fridge has temperatures recorded daily and these are within acceptable ranges.  No vaccines are stored on site.  The medication room was clean, all medications were in date.  However, not all medication was dated on opening, oxygen was not stored appropriately and sharps boxes were stored in the clean medication trolley.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Photo identification and allergy status was evident on all charts.  All medication charts had been reviewed by the GP at least three monthly.  All resident medication administration signing sheets corresponded with the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maintain a high level of nutrition services.  The residents’ individual food, fluids and nutritional needs were met.  Residents are provided with a balanced diet, which meets their cultural and nutritional requirements.  The food service is contracted to an external provider.  The meals are cooked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contractor has a summer and winter menu reviewed by a registered dietitian as per the contract and they also provide dietetic input into the provision of special menus and diets where required.  A dietary assessment is completed on all residents at the time they are admitted.  Residents with special dietary needs have these needs identified.  Resource information on these diets is available in the kitchen and via the dietitian.  Resident forums discuss food and feedback is given.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praised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such as lipped plates/assist cups/grip and built up spoons and on observing mealtimes, it was noted there were sufficient staff to assist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 variety of assessment tools on admission that link to the care planning software along with an interRAI assessment.  All resident files sampled had an interRAI assessment.  Assessments reviewed all provided consistent outcomes to each other, is an improvement on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resident focused and integrated.  Not all long-term care plans documented all required resident needs, this remains a finding from the previous audit.  The facility uses an integrated document system where the GP, nurse practitioner, allied services, the RNs, occupational therapist, assistant diversional therapist, physiotherapist and other visiting health providers write their care notes in the resident’s file/ on the computer software.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agreed that they had been involved in the care planning development and review process.  Short-term care plans were in place for acute and short-term conditions and had been evaluated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nursing and lifestyle care plans in place (link 1.3.5.2).  When a resident’s condition changes, the RN initiates a GP/NP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 partners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included an assessment, wound management and evaluation forms and a short-term care plan.  There was an instance of three wounds on one form.  Eight resident’s wounds were documented on the day of audit; this included skin tears, chronic ulcers a bunion and a lesion.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and examples sighted included (but not limited to): weight and vital signs, blood glucose, pain, food and fluid, turning charts and behaviour monitoring as required.  However, monitoring and interventions were not always constantly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a robust activities programme.  There are two staff employed (one a diversional therapist (DT) and one activities assistant) who are responsible for the planning and delivery of the individual and group activities programme with assistance from staff.  There are organised activities five days per week with occasional weekend activities. </w:t>
            </w:r>
          </w:p>
          <w:p w:rsidR="00EB7645" w:rsidRPr="00BE00C7" w:rsidP="00BE00C7">
            <w:pPr>
              <w:pStyle w:val="OutcomeDescription"/>
              <w:spacing w:before="120" w:after="120"/>
              <w:rPr>
                <w:rFonts w:cs="Arial"/>
                <w:b w:val="0"/>
                <w:lang w:eastAsia="en-NZ"/>
              </w:rPr>
            </w:pPr>
            <w:r w:rsidRPr="00BE00C7">
              <w:rPr>
                <w:rFonts w:cs="Arial"/>
                <w:b w:val="0"/>
                <w:lang w:eastAsia="en-NZ"/>
              </w:rPr>
              <w:t>A wide range of activities, addressing the abilities and needs of residents in the hospital and rest home, were offered.  Activities included physical, mental, spiritual and social aspects of life to improve and maintain residents’ wellbeing.  The programme timetable was available to all, along with additional eye-catching material promoting specific activities to tempt residents to join in.  Selwyn Oaks has implemented evening programmes to support residents with ‘sun-downing’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be active with the Eden philosophy.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Clinical reviews were documented in the multidisciplinary review (MDR) records, which included input from the GP, RNs, occupational therapist, activities assistant, physio and resident/family.  Progress notes were completed and reflected response to interventions and treatments.  Changes to care were documented with exceptions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a visible location (expiry 26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to the care lead.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restraints or enablers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9"/>
        <w:gridCol w:w="1280"/>
        <w:gridCol w:w="5006"/>
        <w:gridCol w:w="3750"/>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holds monthly resident meetings, monthly combined staff meetings and monthly registered nursing meetings.  Minutes are kept for all meetings.  Staff and residents interviewed report issues raised are followed up.  Staff and management reported quality data trends including infection control, incidents, audit outcomes and complaints are discussed in meetings, but combined staff meeting minutes do not include this level of detail.  RN meetings minutes are comprehensive and include quality improvement data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Combined staff meeting minutes do not include adequate information around quality data.  Three months of meeting minutes describing quality data (June – August 2017) were identical.  Meeting minutes held in the staff room were not up to date and no quality data was displayed.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quality data is discussed and documented in the combined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The medication room was clean and well organised.  Staff discussed new processes in place to check, audit and monitor the medication room.  These processes have very recently been commenced.  Medication storage was identified as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 the day of audit two oxygen cylinders were observed to be not secured. (ii) Two eye medications had not been dated on opening and (iii) the sharps bin was stored in the medication trolley with the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oxygen cylinders are secure, (ii) eye drops are dated on opening and (iii) medications are stored in a clean environment.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transitioning from paper-based documentation to software based.  This has resulted in a temporary issue of some residents having paper- based files and some software and some having a combination of the two.  Care partners interviewed were all very knowledgeable regarding all aspects of the resident’s care needs.  Discussion with staff and review of handover notes confirms that information to ensure safe care is communicated.  Not all care plans reviewed reflected all resident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hospital level; (three resident files); (i) Three residents with identified skin integrity shortfalls lacked interventions to support resident needs.  (ii) one care plan did not include pain interventions (where pain was an identified issue), (iii) one care plan did not include positioning for a resident with a hemiparesis, and (iv) one did not include information to manage the frailness of the resident’s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rest home level; (i) two rest home did not include sufficient interventions to manage disorientated/ behavioural issues and (ii) one did not include sufficient information around assistance with personal care and pain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interventions to support current assessed needs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evidences that the standard of care is high and that staff make all efforts to ensure the safety and comfort of the residents.  The GP stated that the standard of care was very good.  One wound plan included three wounds and monitoring and interventions were not always documented as completed.  This is a continued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has three wounds on one wound assessment and plan, so that individual evaluation was no possible.  One hospital level resident did not have behaviour monitoring consistently documented on the monitoring form and one rest home level resident’s turning chart was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there is one wound per wound form, ensure that monitoring is consistently documented and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Selwyn Oaks</w:t>
    </w:r>
    <w:bookmarkEnd w:id="58"/>
    <w:r>
      <w:rPr>
        <w:rFonts w:cs="Arial"/>
        <w:sz w:val="16"/>
        <w:szCs w:val="20"/>
      </w:rPr>
      <w:tab/>
      <w:t xml:space="preserve">Date of Audit: </w:t>
    </w:r>
    <w:bookmarkStart w:id="59" w:name="AuditStartDate1"/>
    <w:r>
      <w:rPr>
        <w:rFonts w:cs="Arial"/>
        <w:sz w:val="16"/>
        <w:szCs w:val="20"/>
      </w:rPr>
      <w:t>12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