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Montecillo Veterans Home and Hospital Limited - Montecillo Veterans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Montecillo Veterans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Montecillo Veterans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November 2017</w:t>
      </w:r>
      <w:bookmarkEnd w:id="7"/>
      <w:r w:rsidRPr="009418D4">
        <w:rPr>
          <w:rFonts w:cs="Arial"/>
        </w:rPr>
        <w:tab/>
        <w:t xml:space="preserve">End date: </w:t>
      </w:r>
      <w:bookmarkStart w:id="8" w:name="AuditEndDate"/>
      <w:r w:rsidR="00A4268A">
        <w:rPr>
          <w:rFonts w:cs="Arial"/>
        </w:rPr>
        <w:t>6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Montecillo Veterans Home and Hospital Ltd provides hospital (medical and geriatric) and rest home level care to veteran men and women and their dependants.  The service provides care for up to 44 residents with 41 residents on the day of audit. </w:t>
      </w:r>
    </w:p>
    <w:p w:rsidRPr="00A4268A">
      <w:pPr>
        <w:spacing w:before="240" w:line="276" w:lineRule="auto"/>
        <w:rPr>
          <w:rFonts w:eastAsia="Calibri"/>
        </w:rPr>
      </w:pPr>
      <w:r w:rsidRPr="00A4268A">
        <w:rPr>
          <w:rFonts w:eastAsia="Calibri"/>
        </w:rPr>
        <w:t>An acting chief executive officer (also chief financial officer) is currently managing the service.  The current clinical manager position is vacant.  Experienced registered nurses and care staff provide support.  Family and residents interviewed spoke very positively about the care and support provided.</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The audit process included, the review of residents and staff files, observations, and interviews with residents, family, management, general practitioner and staff.  Residents and families spoke positively of the service provided.</w:t>
      </w:r>
    </w:p>
    <w:p w:rsidRPr="00A4268A">
      <w:pPr>
        <w:spacing w:before="240" w:line="276" w:lineRule="auto"/>
        <w:rPr>
          <w:rFonts w:eastAsia="Calibri"/>
        </w:rPr>
      </w:pPr>
      <w:r w:rsidRPr="00A4268A">
        <w:rPr>
          <w:rFonts w:eastAsia="Calibri"/>
        </w:rPr>
        <w:t>The service has addressed two of the seven shortfalls identified at the previous audit, relating to updating the open disclosure policy, and activity plans.  There continues to be improvements required around: quality data analysis/feedback, contractual timeframes, interventions, medication management and first aid training.   This audit identified further improvements required in relation to clinical management, wound care and neuro observation documentation, care plan evaluations and restraint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Montecillo provides care in a way that focuses on the individual resident.  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Montecillo has a documented quality and risk management system.  Quality activities are conducted.  Corrective actions are developed and implemented. The service has an implemented health and safety programme. There are human resources policies including recruitment, job descriptions, selection, orientation and staff training and development.  The service has an orientation programme that provides new staff with relevant information for safe work practice.  There is an education planner in place for 2017 and is being implemented.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completes initial assessments, risk assessments, and long-term care plans within the required timeframes.  Care plans are evaluated at least six monthly.  The medication management system includes policy and procedures that follows recognised standards.  Registered nurses and senior caregivers are responsible for administration of medicines and complete annual education and medication competencies.  A qualified diversional therapist oversees the activity team and coordinates the activity programme for the rest home and hospital.  The programme includes community visitors and outings, entertainment and activities that meet the individual and group preferences and abilities for each resident group.  Residents and families report satisfaction with the activities programme.  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There are documented emergency management procedures.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minimisation and safe practice policy that includes comprehensive restraint procedures.  There is a documented definition of restraint and enablers that aligns with the definition in the standards.  The service had six residents using restraint (all hospital level care) in the form of bedrails and/or lap belts and two (hospital level care) residents using bedrails as enablers. Restraint includes the use of bedrails and lap belts.  There is a restraint and enablers register.  Staff receive training in restraint minimisation and challenging behaviour management.  Competencies are also completed.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A suite of infection control policies and guidelines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0"/>
        <w:gridCol w:w="1280"/>
        <w:gridCol w:w="10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acting chief executive officer (CEO) maintains a record of all complaints, both verbal and written, by using a complaint’s register.  Discussions with residents and relatives confirmed they were provided with information on complaints.  Complaints forms are in a visible location at the entrance to the facility.  Two complaints have been made since the last audit.  The two complaints reviewed had documented evidence of appropriate follow-up actions and resolutions taken.  One of the complaints was made through the Health &amp; Disability Advocacy (HDA), which was investigated and followed-up with an HDA letter in August 2017 stating that the complaint was closed off and no further action would be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operating procedures relating to accident/incidents, complaints and open disclosure alert staff to their responsibility to notify family/next of kin of any accident/incident that occurs.  There is an open disclosure policy that has been updated since last audit.  Accident/incident forms and electronic records of incidents have a section to indicate if next of kin have been informed (or not) of an accident/incident.  Twelve accident/incident forms reviewed for October and November 2017, identified family were kept informed.   Five residents (four hospital and one rest home) and three family members (hospital) confirmed on interview that the staff and management are approachable and available.  Staff were observed communicating effectively with residents.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provides care for up to 44 rest home and hospital (geriatric and medical) level care residents.  On the day of audit, there were 41 residents, which included 16 rest home, and 25 hospital residents.  There were no residents under the medical component and one rest home resident was on respite.  All other residents were under the aged related residential care (ARRC) contract.  All rooms at Montecillo are dual-purpose (rest home or hospital).  The service is divided over two floors with 20 rooms downstairs and 24 rooms upstairs.  There are currently 14 rest home residents and five hospital residents in the downstairs wing.  The upstairs wing currently has 20 hospital residents and two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and a business plan for 2017.  The business plan identifies the purpose, values and scope of the business.  The quality and risk management plan April 2018–March 2018 outlines the quality goals, which are reviewed at the ethical and clinical advisory committee meeting and the heads of department meetings.  The service is governed by a trust board, which has two divisions, a financial committee and the ethical and clinical advisory committee (ECAC).  The ECAC meets two monthly and receives reports on all aspects of service delivery at Montecillo.  </w:t>
            </w:r>
          </w:p>
          <w:p w:rsidR="00EB7645" w:rsidRPr="00BE00C7" w:rsidP="00BE00C7">
            <w:pPr>
              <w:pStyle w:val="OutcomeDescription"/>
              <w:spacing w:before="120" w:after="120"/>
              <w:rPr>
                <w:rFonts w:cs="Arial"/>
                <w:b w:val="0"/>
                <w:lang w:eastAsia="en-NZ"/>
              </w:rPr>
            </w:pPr>
            <w:r w:rsidRPr="00BE00C7">
              <w:rPr>
                <w:rFonts w:cs="Arial"/>
                <w:b w:val="0"/>
                <w:lang w:eastAsia="en-NZ"/>
              </w:rPr>
              <w:t>The CEO retired in December 2016.  The chief financial officer (CFO) is the acting CEO.  The acting CEO reports to the trust board meeting and the ECAC.  The acting CEO is non-clinical.  The clinical nurse manager role provides clinical oversight at Montecillo, however on the day of the audit the clinical nurse manager role was vacant due to the previous nurse manager leaving in October 2017.  The vacant clinical nurse manager role is currently going through the recruitment process.  The senior RN is currently helping by taking on the key duties of the vacant clinical nurse manager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CEO has completed at least eight hours of professional development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Montecillo has a documented quality and risk management system.  The acting CEO oversees the quality programme.  The quality programme includes goals for 2017.  The previous year’s plan has been reviewed.  Policies and procedures provide assurance that the service is meeting accepted good practice and adhering to relevant standards, including those standards relating to the Health and Disability Services (Safety) Act 2001.  The open disclosure incident/accident policy was reviewed in September 2016 to ensure that it fully aligns with service practice (sighted).  This previous shortfall has now been addressed.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ethical and clinical advisory committee meeting, the heads of department committee meeting and the senior management team receive reports on the progress of the quality programme.  Quality data related to incident and accidents, infection control, hazard management, environmental safety, restraint minimisation, complaints and training and audit outcomes are collected.  The staff meeting template includes headings relating to these items, however meeting minutes do not reflect that these have been routinely discussed and communicated to staff.  An annual resident and relative satisfaction survey was conducted in August 2016. The survey has not been fully analysed, and results have not been reported back to residents or families.  This previous finding has not been addressed.  A 2017 survey has not been completed at this stage.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covers all aspects of the service.  The outcomes of internal audits are discussed with staff at the various meetings.  Corrective actions have been developed and implemented for shortfalls in service identified.  There is a health and safety programme in place including policies to guide practice.  There are designated health and safety staff representatives.  Current hazard registers have been developed for all service areas and are easily located for staff.  Staff (four caregivers, two registered nurses and one chef) confirmed they are kept informed on health and safety matters at meetings.  Fall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information (link 1.2.3.6).  Twelve accident/incident forms were reviewed (October and November 2017).  There has been RN notification and clinical assessment completed in a timely manner; however, for four incident forms reviewed for resident’s unwitnessed falls with a head knock/injury, there was no documented evidence of neurological observation forms being completed (link 1.3.6.1).  Accidents/incidents were recorded in the resident progress notes.  There is documented evidence the family had been notified of accidents/incidents where this has been requested.  Management were aware of their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including two RNs, two nurse aides and one activities coordinator were reviewed.  The files contained relevant employment documentation; all five files did not have an up-to-date performance appraisal for 2017. Noting, they had not been completed in 2016.  Current practising certificates were sighted for registered nurses and allied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advised that new staff were adequately orientated to the service on employment.  Employment documentation was evident in the sample of staff files reviewed. There is an education planner in place for 2017 and is being implemented.  Two out of six RNs have completed interRAI training.  The acting CEO has completed the interRAI management training.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rationale and skill mix policy which includes rostering and acuity levels.  Sufficient staff are rostered on to manage the care requirements of the residents (link 1.2.1.3).  There is one registered nurse on duty at all times.  All 44 beds within Montecillo are dual-purpose beds.  The service is divided over two floors with 20 rooms downstairs and 24 rooms upstairs.  The downstairs wing is where the majority of rest home residents reside.  There are currently 14 rest home residents and five hospital residents in the downstairs wing.  This unit is run by a senior nurse aide (Monday to Friday) with support from the registered nurse who is located upstairs.  The upstairs unit currently has 20 hospital residents and two rest home residents.  Advised that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includes a registered nurse rostered on the morning and afternoon, and night shifts.  The RNs are supported by four nurse aides (upstairs) and two nurse aides (downstairs) on duty on the morning shift; three nurse aides (upstairs) and one nurse aide (downstairs) on the afternoon shift (plus one additional short shift nurse aide from 4.30 pm to 8.30 pm) to assist with the evening resident meals and one nurse aide (downstairs) and one nurse aide (upstairs) on duty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staff include an activities coordinator, cleaners, laundry staff, and the chef and kitchenhands.  Residents and relatives interviewed confirmed that staffing is adequate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long-term residents have individual medication orders with photo identification and allergy status documented.  The service uses a four-weekly blister pack system.  All medicines are stored securely when not in use.  When new medicines are supplied from the pharmacy, the RN completes a verification check against the resident’s medicine order.  Medication orders include indications for use of ‘as needed’ medicines.  Short-life medications (ie, eye drops and ointments) are dated once opened.  Education on medication management has occurred with competencies conducted for the registered nurses and senior caregivers with medication administration responsibilities (medicine competencies for the registered nurses and caregivers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sheets are appropriately signed.  Ten (six hospital and four rest home) medication charts reviewed identified that the GP had seen the resident three monthly and the medication chart was signed each time a medicine was administered by staff. Short-term medications included a finish date.  This previous shortfall has been addressed. The previous shortfall around sliding scale insulin charting was not evidenced in current use.  One nurse aide and one registered nurse were observed administering medications and followed correct procedures. There was one resident self-medicating and a competency was on file, however, this did not meet requirements.  Residents/relatives interviewed stated they are kept well informed of any changes to their medications.  Not all medication charts had been fully documented by the GP.  Improvements continue to be required around the medication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commercial kitchen and all food is prepared and cooked on-site.  All kitchen staff have completed food safety training.  A food services manual is available to ensure that all stages of food delivery to residents comply with standards, legislation and guidelines.  The dietitian had reviewed the menu.  All fridges and freezer temperatures are recorded daily on the recording sheet.  Food temperatures are recorded daily.  All food is served directly from the kitchen to residents in the dining room.  A tray service is provided to the upstairs residents via a hotbox and to resident rooms as required.  All food in the freezer and fridge is labelled and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currently the kitchen is catering for a resident who has a nut allergy.  Alternative meals can be accommodated if needed.  Residents’ weights are recorded routinely each month or more frequently if required.  Residents and relatives interviewed reported satisfaction with food choices and meals, which were well presented.  There is a cleaning schedule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in conjunction with the resident and family and includes needs as identified by the registered nurse, in consultation with staff.  Long-term care plans of all permanent residents reviewed were individually developed with the resident and/or family.  Residents and family members interviewed stated they were involved in the care planning process.  Care plans reviewed were individualised for each resident, however not all interventions were documented as identified by the progress notes, assessments, GP notes and allied health reviews.  The previously identified shortfall has not yet been addressed.  Short-term care plans are in use but do not always reflect interventions required to manage the resident’s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resident’s plan of care, and handovers between shifts.  Care plans are goal orientated and reviewed at six monthly intervals (link 1.3.8.2).  The nurse aides and registered nurses interviewed stated that they have sufficient equipment and supplies to provide care.  Resident weights are monitored monthly or more frequently if necessary. There are currently seven residents with wounds, including three hospital level care residents with four healing grade-two pressure injuries and three hospital residents with skin tears and one rest home resident with a surgical wound.  All identified wounds had an assessment and management plan in place.  There was evidence of input from the GP and the DHB vascular team.  </w:t>
            </w:r>
          </w:p>
          <w:p w:rsidR="00EB7645" w:rsidRPr="00BE00C7" w:rsidP="00BE00C7">
            <w:pPr>
              <w:pStyle w:val="OutcomeDescription"/>
              <w:spacing w:before="120" w:after="120"/>
              <w:rPr>
                <w:rFonts w:cs="Arial"/>
                <w:b w:val="0"/>
                <w:lang w:eastAsia="en-NZ"/>
              </w:rPr>
            </w:pPr>
            <w:r w:rsidRPr="00BE00C7">
              <w:rPr>
                <w:rFonts w:cs="Arial"/>
                <w:b w:val="0"/>
                <w:lang w:eastAsia="en-NZ"/>
              </w:rPr>
              <w:t>Not all initial wound assessments fully documented the wound and not all were redressed as per the management plan.  Short-term care plans for wounds did not all describe the short-term interventions required (link 1.3.5.2).  Continence products are available, and specialist continence advice is available as needed.  Nurse aids and RNs interviewed state there is adequate continence and wound care supplies.  Monitoring charts were used, and examples sighted included (but not limited to), weight and vital signs, blood glucose, pain, food and fluid, turning charts and behaviour monitoring as required.  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activities coordinator (qualified diversional therapist) employed for 35 hours per week, who, with assistance from an activities assistant and staff, is responsible for the planning and delivery of the individual and group activities programme.  Group activities are provided in the large communal rooms, in seating areas, and outdoors in the gardens when weather permits.  Festivities and theme days are enjoyed.  Birthdays are celebrated, and special events are catered for such as special family events, wedding anniversaries.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the use of a car and can access wheelchair vans as required for planned outings.  Resident and management meetings are held three monthly with activities on the agenda.  This allows for resident feedback and suggestions on the activities programme.  Meeting minutes are made available to the residents.  On the day of the audit, residents were observed being actively involved with a variety of activities including external entertainers. The group activities programme is developed monthly, and a weekly plan is provided to all residents and posted on noticeboards. The group programme includes residents being involved within the community in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The service delivery plan developed by the RNs three weeks after admission includes cultural, spiritual and social needs.  In all files sampled an activities plan is developed by the activities coordinator with goals and interventions specific for each resident and the outcomes social histories and individualised resident interests.  The previous shortfall has been addressed. The evaluations are written at least three monthly.  There is a resident attendance record kept.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The service has its own van for transportation.  Residents interviewed described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 monthly or if there has been a significant change in their health status (link 1.3.3.3).  Long-term care plans are then evaluated.  There was documented evidence that care plan evaluations were current in four of four permanent resident files sampled. However, evaluations did not always document progress towards meeting goals.  Care plan evaluations were signed as completed by the RN.  The GP reviews residents three monthly or when requested if issues arise or their health status changes.  The GP stated that the staff communicate appropriately.  Not all short-term care plans reviewed had been documented for acute changes in health status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23 August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trained in basic life support but not first aid.  There is not always a qualified first aider on duty, therefore the previous shortfall continues to require addressing.  Fire safety training has been provided.  There is an electronic call bell system in place.  A civil defence kit is stocked and checked monthly.  Water is stored, sufficient for at least three days.  Alternative heating and cooking facilities are available.  Emergency lighting is installed.  Staff conduct checks of the building in the evenings to ensure the facility is safe and secure.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Systems in place are appropriate to the size and complexity of the facility.  Effective monitoring is the responsibility of the infection control coordinator. This includes audits of the facility, hand hygiene and surveillance of infection control events and infections.  Surveillance data is available to all staff.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includes comprehensive restraint procedures.  There is a documented definition of restraint and enablers that aligns with the definition in the standards.  The service has no rest home residents with either restraint or enablers.  On the day of audit, the service had six residents using restraint (all hospital level care) in the form of bedrails and/or lap belts and two (hospital level care) residents using bedrails as enablers.  All enabler use is voluntary.  The resident files of two residents using restraint did not evidence three monthly reviews were completed (link 2.2.4).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and enablers register.  Staff receive training in restraint minimisation and challenging behaviour management.  Policy dictates that enablers should be voluntary and the least restrictive option possible.  The staff interviewed are familiar with this.  Restraint/enabler use is discussed at registered nurse’s meetings.  The service has appropriate procedures to document for the safe assessment, consent, planning, monitoring and review of restraint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the service had six residents using restraint (all hospital level care) in the form of bedrails and/or lap belts and two (hospital level care) residents using bedrails as enablers.  The resident files of two residents using restraint did not evidence three monthly reviews were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00"/>
        <w:gridCol w:w="1280"/>
        <w:gridCol w:w="3471"/>
        <w:gridCol w:w="2349"/>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chief financial officer (CFO) is the acting CEO.  The acting CEO reports to the trust board meeting and the ECAC.  The acting CEO is non-clinical.  The clinical nurse manager role provides clinical oversight at Montecillo, however on the day of the audit the clinical nurse manager role was vacant due to the previous nurse manager leaving in October 2017.  The service is currently going through the recruitment process.  The senior RN is currently helping by taking on the key duties of the vacant clinical nurse manager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was no fulltime clinical nurse manager employed to work with the acting CEO, who is non-clinical.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fulltime clinical nurse manager employed to meet with the required clause D17.4b in the aged related residential service agreement.  Ensure HealthCERT and the DHB are aware of the vacant role.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are conducted as part of the annual quality and risk management programme.  Quality data related to incident and accidents, infection control, hazard management, environmental safety, restraint minimisation, complaints and training and audit outcomes are collected.  The staff meeting template includes headings relating to these items, however meeting minutes do not reflect that these have been routinely discussed and communicated to staff.  An annual resident and relative satisfaction survey was conducted in August 2016.  The survey has not been fully analysed, and results have not been reported back to residents or families.  This previous shortfall remains an area for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was no documented evidence that quality/health and safety/staff meetings included discussion around quality data trends analysis and what actions were required by staff; (ii) The resident and relative annual satisfaction survey was conducted in August 2016.  The survey has not been fully analysed, and results have not been communicated to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staff meeting minutes include discussion of quality data trends analysis and actions required, if any.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results of the annual resident and relative satisfaction survey are communicated to residents and families.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ten medication-administration charts sampled documented that all medication given was appropriately signed for.  All regular medication was prescribed by the GP in a manner that meets legislative requirements.  All ‘as required’ medications had an indication for use.  All short-term medications evidenced start/stop dates. There were currently no residents on sliding scale insulin.  For residents on regular insulin, documentation included the times to be given.  There were shortfalls identified around medication documentation and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respite resident did not have a signed medication chart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self-medicating resident had a competency documented, however, this did not evidence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Four of four opened eye drops did not evidence opening dates. </w:t>
            </w:r>
          </w:p>
          <w:p w:rsidR="00EB7645" w:rsidRPr="00BE00C7" w:rsidP="00BE00C7">
            <w:pPr>
              <w:pStyle w:val="OutcomeDescription"/>
              <w:spacing w:before="120" w:after="120"/>
              <w:rPr>
                <w:rFonts w:cs="Arial"/>
                <w:b w:val="0"/>
                <w:lang w:eastAsia="en-NZ"/>
              </w:rPr>
            </w:pPr>
            <w:r w:rsidRPr="00BE00C7">
              <w:rPr>
                <w:rFonts w:cs="Arial"/>
                <w:b w:val="0"/>
                <w:lang w:eastAsia="en-NZ"/>
              </w:rPr>
              <w:t>(iv) Three of ten medication charts did not evidence three monthly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residents have a signed medication chart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self-medicating residents evidence three monthly competency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eye drops are dated when opened. </w:t>
            </w:r>
          </w:p>
          <w:p w:rsidR="00EB7645" w:rsidRPr="00BE00C7" w:rsidP="00BE00C7">
            <w:pPr>
              <w:pStyle w:val="OutcomeDescription"/>
              <w:spacing w:before="120" w:after="120"/>
              <w:rPr>
                <w:rFonts w:cs="Arial"/>
                <w:b w:val="0"/>
                <w:lang w:eastAsia="en-NZ"/>
              </w:rPr>
            </w:pPr>
            <w:r w:rsidRPr="00BE00C7">
              <w:rPr>
                <w:rFonts w:cs="Arial"/>
                <w:b w:val="0"/>
                <w:lang w:eastAsia="en-NZ"/>
              </w:rPr>
              <w:t>(iv) Ensure all medication charts evidence that the GP completes a review at least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around timeframes for resident assessment, care planning and evaluation.  All permanent resident files evidenced timely long-term care plans.  Care plan evaluations had been completed 6 monthly.  Resident files reviewed did not all evidence contractual timeframes being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hospital resident did not have an initial interRAI assessment documented within 21 days of admission. Two of four permanent resident files (one hospital and one rest home) did not evidence interRAI reassessments had been completed.  (ii)Two of four permanent files sampled (one rest home and one hospital level of care) did not evidence the GP initial visit had occurred within contractual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activities care plans and initial GP visits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reviewed had a long-term care plan documented and had been reviewed and updated within the last six months.  Interviews with nurse aides identified that they were aware of the care needs of the residents.  Long-term care plans did not document all the care interventions needed for individual residents.  Short-term care plans had been implemented for changes in health for two residents, but did not fully detail the required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permanent residents’ files sampled did not have all identified needs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One hospital level resident did not have interventions for identified behaviours that challenge.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level resident had minimal interventions documented for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rest home had instructions from the dietitian for monthly assessments of nutrition that were not documented as an intervention in the care plan.  The resident had falls prevention interventions (including a sensor mat) which were not reflected into the long-term care plan.  Progress notes evidenced recent acute deterioration in mobility and cognition, but changes to interventions were not reflected in either a short-term care plan or updated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(iv)  One hospital resident with a pressure injury did not have care interventions documented in either a short-term care plan or updated in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describe the care and support needed as identified by assessments, and reflect allied health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Montecillo implements wound management plans for all wounds.  Registered nurses document an initial assessment and a documented management plan including goals, dressing type and frequency of changes.  Evaluations are documented on the management plan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information.  Incident/accident data is reported and monitored though staff meetings.  Twelve accident/incident forms were reviewed (October and November 2017).  There has been RN notification and clinical assessment completed in a timely manner, however, for four incident forms reviewed for residents’ unwitnessed falls with a head knock/injury, there was no documented evidence of neurological observation forms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eight wounds did not fully document initial assessments. </w:t>
            </w:r>
          </w:p>
          <w:p w:rsidR="00EB7645" w:rsidRPr="00BE00C7" w:rsidP="00BE00C7">
            <w:pPr>
              <w:pStyle w:val="OutcomeDescription"/>
              <w:spacing w:before="120" w:after="120"/>
              <w:rPr>
                <w:rFonts w:cs="Arial"/>
                <w:b w:val="0"/>
                <w:lang w:eastAsia="en-NZ"/>
              </w:rPr>
            </w:pPr>
            <w:r w:rsidRPr="00BE00C7">
              <w:rPr>
                <w:rFonts w:cs="Arial"/>
                <w:b w:val="0"/>
                <w:lang w:eastAsia="en-NZ"/>
              </w:rPr>
              <w:t>(ii)  Four of eight wounds were not documented as dressed 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Twelve resident incident forms were reviewed.  For four incident forms reviewed for residents’ unwitnessed falls with a head knock/injury, there was no documented evidence of neurological observation forms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initial wound assessments are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wounds are dressed within documented timeframes.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any unwitnessed falls with a head knock/injury have neurological observation forms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advised that they undertake a review of the long-term care plan at least six monthly; Long-term care plans were sited as completed; however, progress towards meeting documented goals was not always evidenced on the files reviewed. There was evidence in the medical notes that the GP assesses the resident with an acute change in health condition.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did not document progress towards meeting documented goals in two (hospital level care) of four permanent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evaluations document progress towards meeting documented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are available.  Staff interviewed were aware of what to do in the event of an emergency, however, there was not a qualified first aider on duty at all times.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viewed identified that qualified first aid staff were not available on duty 24 hours a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 staff member on duty at all times with a current first aid qualification.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on restraints evidenced pre-assessment and approval process documentation on file. The process for implementing restraint included family agreement and GP approval with three monthly reviews and two hourly monitoring charts.  Not all residents on restraint had three monthly evaluations documented.  Staff interviewed were aware of the risks of restraint and had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files on restraints were reviewed.  Two of two resident files did not have documented evidence of three monthly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three monthly evaluations are completed for residents on restraints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Montecillo Veterans Home and Hospital Limited - Montecillo Veterans Home and Hospital</w:t>
    </w:r>
    <w:bookmarkEnd w:id="58"/>
    <w:r>
      <w:rPr>
        <w:rFonts w:cs="Arial"/>
        <w:sz w:val="16"/>
        <w:szCs w:val="20"/>
      </w:rPr>
      <w:tab/>
      <w:t xml:space="preserve">Date of Audit: </w:t>
    </w:r>
    <w:bookmarkStart w:id="59" w:name="AuditStartDate1"/>
    <w:r>
      <w:rPr>
        <w:rFonts w:cs="Arial"/>
        <w:sz w:val="16"/>
        <w:szCs w:val="20"/>
      </w:rPr>
      <w:t>6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