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Hardwill Group Limited - The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Hardwill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Rest home care (excluding dementia care); Residential disability services - Physical; Residential disability services - Psychiatric;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December 2017</w:t>
      </w:r>
      <w:bookmarkEnd w:id="7"/>
      <w:r w:rsidRPr="009418D4">
        <w:rPr>
          <w:rFonts w:cs="Arial"/>
        </w:rPr>
        <w:tab/>
        <w:t xml:space="preserve">End date: </w:t>
      </w:r>
      <w:bookmarkStart w:id="8" w:name="AuditEndDate"/>
      <w:r w:rsidR="00A4268A">
        <w:rPr>
          <w:rFonts w:cs="Arial"/>
        </w:rPr>
        <w:t>7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Addition of hospital (geriatric) level care to the scope of certification</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Lodge provides residential disability services (intellectual, physical, sensory and psychiatric) and rest home level care for up to 29 residents. The service is operated by the Hardwill Group Ltd and managed by a clinical manager. Since the previous audit significant improvements have been made to the environment, both internal and external, with plans in place for further improvements. The facility has also applied to extend their service to include hospital level care, and two hospital beds, to cater for those longer-term residents whose needs increase as they age, so they can still be cared for at the facility. This has been in response to requests from both families and residents, who spoke positively about the care provided.</w:t>
      </w:r>
    </w:p>
    <w:p w:rsidRPr="00A4268A">
      <w:pPr>
        <w:spacing w:before="240" w:line="276" w:lineRule="auto"/>
        <w:rPr>
          <w:rFonts w:eastAsia="Calibri"/>
        </w:rPr>
      </w:pPr>
      <w:r w:rsidRPr="00A4268A">
        <w:rPr>
          <w:rFonts w:eastAsia="Calibri"/>
        </w:rPr>
        <w:t xml:space="preserve">This certification and partial provisional audit was conducted against the Health and Disability Services Standards and the service’s contract with the district health board and the Ministry of Health. The audit process included review of policies and procedures, review of residents’ and staff files, observations and interviews with residents, family members, management, staff, the directors and two general practitioners. </w:t>
      </w:r>
    </w:p>
    <w:p w:rsidRPr="00A4268A">
      <w:pPr>
        <w:spacing w:before="240" w:line="276" w:lineRule="auto"/>
        <w:rPr>
          <w:rFonts w:eastAsia="Calibri"/>
        </w:rPr>
      </w:pPr>
      <w:r w:rsidRPr="00A4268A">
        <w:rPr>
          <w:rFonts w:eastAsia="Calibri"/>
        </w:rPr>
        <w:t xml:space="preserve">This audit has resulted in two areas requiring improvement, in relation to the request for the addition of hospital level residential care services. These relate to staffing levels and the door widths for the proposed dual-purpose rooms.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and objectives, philosophy and mission statement of the organisation. Monitoring of the services 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is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entry into The Lodge service is facilitated by comprehensive entry processes and guidelines that ensures all needs and requirements have been considered. Support plans are completed with residents soon after entering the service and based on referrals, needs assessment and standardised assessments available to staff. Support plans were current and regularly reviewed. Support planning incorporates the requirements of the continuum of service delivery standard and all planning is completed in hard copy and stored safely in a locked office. The residents have risk and crisis management plans where needed. </w:t>
      </w:r>
    </w:p>
    <w:p w:rsidRPr="00A4268A" w:rsidP="00621629">
      <w:pPr>
        <w:spacing w:before="240" w:line="276" w:lineRule="auto"/>
        <w:rPr>
          <w:rFonts w:eastAsia="Calibri"/>
        </w:rPr>
      </w:pPr>
      <w:r w:rsidRPr="00A4268A">
        <w:rPr>
          <w:rFonts w:eastAsia="Calibri"/>
        </w:rPr>
        <w:t xml:space="preserve">All aspects of peoples’ health, wellbeing, interests and activities are incorporated into the file. </w:t>
      </w:r>
    </w:p>
    <w:p w:rsidRPr="00A4268A" w:rsidP="00621629">
      <w:pPr>
        <w:spacing w:before="240" w:line="276" w:lineRule="auto"/>
        <w:rPr>
          <w:rFonts w:eastAsia="Calibri"/>
        </w:rPr>
      </w:pPr>
      <w:r w:rsidRPr="00A4268A">
        <w:rPr>
          <w:rFonts w:eastAsia="Calibri"/>
        </w:rPr>
        <w:t xml:space="preserve">Medicine management is completed safely. There is oversight by qualified clinical staff and staff who administer medicines have the required medication competencies with appropriate training and information available. </w:t>
      </w:r>
    </w:p>
    <w:p w:rsidRPr="00A4268A" w:rsidP="00621629">
      <w:pPr>
        <w:spacing w:before="240" w:line="276" w:lineRule="auto"/>
        <w:rPr>
          <w:rFonts w:eastAsia="Calibri"/>
        </w:rPr>
      </w:pPr>
      <w:r w:rsidRPr="00A4268A">
        <w:rPr>
          <w:rFonts w:eastAsia="Calibri"/>
        </w:rPr>
        <w:t xml:space="preserve">The residents are supported to maintain healthy lifestyles, enjoy nutritious meals and eat healthily. Residents with specific dietary requirements are supported, depending on each individual need.  Menu plans are based on appropriate nutritional guidelines. Residents have access to a good supply of food and drinks of their choice at all times and are provided with support to enjoy their meals as required. There are several areas for dining made available.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There were no restraints or enablers in use at the time of audit and the facility maintains a restraint free environment.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Lodge is a well-managed environment for infection prevention and control which is appropriate for the size and scope of the facility. Infection prevention and control is led by experienced and trained designated staff. The programme is reviewed annually with specialist advice accessed when needed. Staff demonstrated good principles around infection control which is guided by policies, procedures and regular education updates and information. Surveillance is undertaken and the results are reported through to the staffing teams. Follow 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4"/>
        <w:gridCol w:w="1280"/>
        <w:gridCol w:w="9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Lodge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options/choice, and maintaining dignity and privacy.   Training on the Code is included as part of the orientation process for all staff employed and in ongoing training, as was verified in training records. Staff interviewed could articulate clearly the requirements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citing examples of how they do so in practice. Staff were observed to gain consent for day to day care. Informed consent policies provide relevant guidance to staff.  Seven clinical files reviewed demonstrated that informed consent has been gained appropriately using the organisation’s standard consent form. Advance care planning, ‘wishes on death’ and documenting enduring power of attorney requirements and processes for residents unable to consent is defined and documented, as appropriate, in the resident’s record.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dealings with staff. Family members spoke about being invited to celebrations and that they were very happy with the service provided. There was evidence of community interaction both in house and externally. Self-help and autonomy is encouraged and was observed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responsive to young people with disabilities accessing the community, resources, facilities and mainstream supports. The service promotes access to family and friends.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Complaint forms are also available in the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have been received over the past year and that actions taken, through to an agreed resolution, are documented and completed well within the timeframes. Action plans show any required follow up and improvements have been made where possible.  The clinical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by the staff and on moving into the facility when they received the information pack. Those interviewed stated clearly it was the registered nurse who advised them. The Code is displayed in several areas within the facility including the entrance way, together with information on advocacy services, how to make a complaint and feedback forms.   Leaflets were visibly available.  Family members concurred that they also were made aware of and understand what to do and what to expect for their family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All voiced they could articulate their needs in these areas and staff would respond. Staff were observed to respect the residents’ rooms by knocking before entry. The chaplain attended the facility on the second day of audit to meet with identified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that reflects their individual personal items and this is set up as they like the room to be.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attending activities of choice from a comprehensive programme. Residents and family interviewed voiced they had many opportunities both within and outside of the facility to maintain their independence, with one resident out at work for the week. It was evident throughout the audit that residents we participating in clubs and outings of their choosing.  Care plans included documentation related to the resident’s abilities, and strategies to maximise independence.  The service has invested in the Golden Care on line activity programme which identified plans that reflected individuality and choice.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 The activities coordinator progress notes were also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 people with disabilities are able to maintain their personal, gender, sexual, cultural, religious and spiritual identity.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importance of whanau connection was articulated and evidenced in files including the use of a family/whanau contact sheet.   Māori residents and their whānau interviewed reported that staff acknowledge and respect their individual cultural needs. It was evidenced in the files that staff identify iwi and hapu affiliations.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by using their preferred salutation. Resident’s personal preferences, required interventions and special needs were included in care plans reviewed including affiliations, religious denominations and food preferences.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Staff voiced they received education related to professional boundaries, expected behaviours and the Code of Conduct.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regular input from external specialist services and allied health professionals, for example, diabetes nurse specialist, wound care specialist, psychogeriatrician and mental health services for older persons. External specialists provide in service education to staff which staff spoke highly of and agreed was adding value to residents’ care. The general practitioners (GP) interviewed confirmed the service sought prompt and appropriate medical intervention when required and were responsive to medical requests. Both spoke of their admiration for the facility in managing the complexities of their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the RN accesses professional networks to support good practice having recently completed post graduate studies.</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clinical manager and registered nurse interaction with specialist services at the hospital, their strong advocacy for their residents, and use of clinical data to support their discussion.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This was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speaking English.  Staff are able to provide interpretation as and when needed or know how to access services. They gave examples of using services through the DHB and also using family input.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Language and communication needs and use of alternative information/communication methods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The organisation’s philosophy and business planning reflects a person/family centred approach. A sample of the regular meetings with the owners showed adequate information to monitor performance is reported including occupancy, emerging risks and quality information. The owners, who are new to the facility this year, are also on site daily to provide additional support and assistance to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clinical manager who holds relevant qualifications, is a registered nurse and has been in the role since March. She also managed the facility for the previous owners. Responsibilities and accountabilities are defined in a job description and individual employment agreement. The clinical manager confirms knowledge of the sector, regulatory and reporting requirements, maintains currency through the New Zealand Nursing Council and has also completed post graduate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ACC and the MoH for residential aged care (rest home); YPD – residential non-age care; long term chronic health conditions (LTCH); and psychiatric residential care. Twenty six (26) residents were receiving services under the contracts at the time of audit. Eight aged residential care; one psychiatric disability; eight YPD; one ACC and nine LTCH.</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owners have developed a transitional plan for the addition of hospital level care. No changes will be required in the governance or the current management structure due to the limited number of beds being applied for. Sufficient time has been allowed for an appropriate transition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clinical manager is absent, the registered nurse carries out all the required duties under delegated authority. During absences of the senior registered nurse, the clinical management is overseen by the manager who is also a registered nurse and experienced in the sector and able to take responsibility for any clinical issues that may arise. Staff reported the current arrangements work well. The owners are also available on call to address any non-clinical management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Plans are in place to ensure any absences by rostered registered nurses will able to be covered by existing registered staff and by new staff who will be employed prior to the provision of the new service. The current manager has extensive experience in the aged care sector and understands the requirements of a hospital level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the management of incidents and complaints, audit activities, a regular resident/family satisfaction survey, monitoring of outcomes, clinical incidents including infections, training and health and safety reporting.</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meetings with the owners and at the regular staff meetings. Staff reported their involvement in quality and risk management activities through the audit activities, staff meetings, the daily communication folder and the daily handovers, as well as a range of informal discussions which are a regular feature due to the smaller size of the facility. Relevant corrective actions are developed and implemented to address any shortfalls. Resident and family satisfaction surveys are completed annually. Residents meetings are held monthly and are chaired and organised by one of the younger residents. Minutes evidence good communication between the service and all the residents, many of whom are younger. The chair confirmed all requests are actioned promptly. A recent request was for a dryer in the residents’ laundry. This has now been purchased.</w:t>
            </w:r>
          </w:p>
          <w:p w:rsidR="00EB7645" w:rsidRPr="00BE00C7" w:rsidP="00BE00C7">
            <w:pPr>
              <w:pStyle w:val="OutcomeDescription"/>
              <w:spacing w:before="120" w:after="120"/>
              <w:rPr>
                <w:rFonts w:cs="Arial"/>
                <w:b w:val="0"/>
                <w:lang w:eastAsia="en-NZ"/>
              </w:rPr>
            </w:pPr>
            <w:r w:rsidRPr="00BE00C7">
              <w:rPr>
                <w:rFonts w:cs="Arial"/>
                <w:b w:val="0"/>
                <w:lang w:eastAsia="en-NZ"/>
              </w:rPr>
              <w:t>Younger residents live throughout the facility rather than being all together in one area and they reported this was their choice and the atmosphere in the facility is one of a large family with individuals choosing their own spaces. All residents, including the younger people, have relevant electronic equipment and the necessary aids to help mobility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current annual quality plan and established quality management system will meet requirements for the new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management and staff.</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described essential notification reporting requirements, including for pressure injuries. She advised there have been no notifications of significant events made to the Ministry of Health or any other external authorities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are no legislative compliance issues identified that would affect the new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along with the buddy programme which provides additional support. Staff records reviewed show documentation of completed orientation and a performance review after an 11-week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basis, including mandatory training requirements. The Western Bay of Plenty Primary Health Organisation (PHO) provides monthly training courses which care staff regularly attend. Hospice also provide relevant education courses. Most care staff have either completed or commenced a New Zealand Qualification Authority education programme to meet the requirements of the provider’s agreement with the DHB. The clinical manager is the internal assessor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provider has included a training plan in their transitional plan to upskill all care staff to meet the requirements of a new contract for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to the current residents. The facility adjusts staffing levels to meet the changing needs of residents – using tools, assessed need levels and consultation with staff.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two-week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Additional staffing will be needed to meet the requirements for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sampled included the required demographic, personal, health and clinical information. There was clear evidence of integrated, current clinical notes with the GPs and Allied health services. There was clear correlation of the inter-rai assessment findings throughout the documentation. Records were legible with the name and designation of the person making the entry was legible.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secured archived files and were easily retrievable through a documented system. Residents’ files are held for the required period before being destroyed. There was no evidence of personal or private resident information on public display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It was observed on several occasions throughout the audit that staff preferred to pick up residents when ready for discharge from hospital as opposed to sending them home alone in a taxi.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A safe system for medicine management (using a roll system) was observed on the days of audit. This was changed from a blister pack system recently and staff report this is much easier to use.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medications stored in the fridge but there was evidence of thermometer and templates for monitoring when necessary.</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 monthly GP review was consistently recorded on the medicine chart.  Standing orders are used, were current and comply with guidelines. The GP commented that the RN was very efficient in ensuring all prescribing complied with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should it be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and there was evidence of these being feedback to staff. Consideration is being given to an electronic system which the GP is supportive of.</w:t>
            </w:r>
          </w:p>
          <w:p w:rsidR="00EB7645" w:rsidRPr="00BE00C7" w:rsidP="00BE00C7">
            <w:pPr>
              <w:pStyle w:val="OutcomeDescription"/>
              <w:spacing w:before="120" w:after="120"/>
              <w:rPr>
                <w:rFonts w:cs="Arial"/>
                <w:b w:val="0"/>
                <w:lang w:eastAsia="en-NZ"/>
              </w:rPr>
            </w:pPr>
            <w:r w:rsidRPr="00BE00C7">
              <w:rPr>
                <w:rFonts w:cs="Arial"/>
                <w:b w:val="0"/>
                <w:lang w:eastAsia="en-NZ"/>
              </w:rPr>
              <w:t>The Lodge had no residents self medicating at the time of the audit .There was clear evidence of a system in place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The current medication system is appropriate for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cooks and a kitchen team, and is in line with recognised nutritional guidelines for older people.  The menu follows summer and winter patterns and has been reviewed by a qualified dietitian within the last two years.  Recommendations made at that time have been implemented. The menu rotates six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Food temperatures, including for high risk items, are monitored appropriately and recorded as part of the plan. The cooks have undertaken a safe food handling qualification, with kitchen assistants completing relevant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The staff interviewed stated they are informed by the RN of any dietary changes and they follow up with the resident to ensure things are of a satisfactory nature for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Any concerns/complaints regarding food are dealt with quickly and efficiently. At time of the audit several comments were heard about how good the food is and how much they enjoy it. The residents have choice and can ask for extras at any time. There is ample supply of food to cater in between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nutritional management and catering is suitable for the provision of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  The registered nurse provided examples, including wandering risk, higher care level is required, suicidal ideation, and significant risk to others - aggressive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wound management as a means to identify any needs/cares and to inform care planning. The sample of care plans reviewed had an integrated range of resident-related information.  All residents have current interRAI assessments completed by one of the trained interRAI assessors on site (two). These are predominately undertaken by the RN on site with support from the clinical manager.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Care plans are comprehensive and evidence service integration with progress notes, activities notes, and medical and allied health professionals’ notations clearly written, informative and relevant.  Any change in care required is documented and verbally passed on to relevant staff. Residents and families reported participation in the development and ongoing evaluation of care plans.  Cultural needs were evident and reflective of needs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person centred, consistent with their needs, goals and the plan of care.  The facility caters for a diverse range of resident’s individualised needs, as was evident in all areas of service provision.  The two GPs interviewed, verified that medical input is sought in a timely manner, that medical orders are followed, and care is of an excellent standard. Both voiced that this facility was catering for a very complex resident base and did so well. Care staff confirmed that care was provided as outlined in the documentation. A range of equipment and resources was available, suited to the types of care provided and in accordance with the residents’ needs. Over the course of the audit there were several occasions of the linkage and communication between the facility and Mental Health Services and required follow up actioned immediately by the staff member informing resident, family and staff of the information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and a volunteer. They have recently implemented an online programme – Golden Carers - that informs their activities programme and planning. Information gathered included a social assessment and history undertaken on admission to ascertain residents’ needs, interests, abilities and social requirements. Activities assessments are regularly reviewed to help formulate an activities programme that is meaningful to the residents. There was clear evidence of this on file in the progress notes. The resident’s activity needs are regularly reviewed and evaluated three-monthly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highlighted are reflective of the residents’ goals, ordinary patterns of life and included internal and external community activities. Social connection is a focus and this was evidenced on site with the number of residents leaving to attend community programmes. Individual, group activities and regular events are offered. Residents and families/whānau are involved in evaluating and improving the programme through residents’ group meetings (chaired by a resident), satisfaction surveys and individual resident meetings. Younger people with disabilities have their needs met and one of the younger people supported was at their work place of choice.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find the programme extensive, fun and ‘there is always something to do’. In the absence of the activities coordinator, there is a programme for the caregivers to follow and this ensures that something is offered over the weekends. Residents are encouraged to participate. There was evidence of a balanced approach to activities both internally and externally.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programme offered both from a group and individual perspective is suitable for Hospital Level care as activities are tailored to individual needs and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or clinical manager. Formal care plan evaluations, occur every six months in conjunction with the six-monthly interRAI reassessment, or as residents’ needs change.   The service responds by initiating changes to the plan of care if the progress anticipated is not realised. There were several examples of short term care plans being consistently reviewed as clinically indicated and the progress evaluated for infections, wounds and falls, for example.  Any unresolved needs that require further action/intervention are transferred to the individual’s long term care plan. The timeline outlining the need/issue was reviewed, updated and interventions changed demonstrate a timely response to the issue.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The facility has access to four GPs, with residents given the choice to either use these or go to another medical practitioner. If the need for other non-urgent services are indicated or requested, the GP or RN sends a referral to seek specialist input. This was evidenced during the audit. Copies of referrals were sighted in residents’ files (eg, psychogeriatrician, dietician). The resident and the family/whānau are kept informed of the referral process, as verified by documentation and interviews. Any acute/urgent referrals are attended to immediately, such as sending the resident to accident and emergency in an ambulance if the circumstances dictate.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29 June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is hazard free, residents are safe and independence is promoted. External areas are safely maintained and are appropriate to the resident groups and setting. These have all been recently upgraded to provide additional shelter and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 or maintenance is required, any requests are appropriately actioned and that they are happy with the environment. Sufficient equipment is available, and personal equipment for the younger residents is not used for other residents. The facility is fully accessible to meet the mobility and equipment needs of all people receiving services.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No environmental changes are planned for the new service that will require any new compliance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 range of bathroom sizes to accommodate all resident’s needs. Appropriately secured and approved handrails are provided in the toilet/shower areas, and other equipment/accessories are available to promote resident independence. Upgrades of a number of areas have been completed since the last audit with further planned improvements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current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wheelchairs. No residents have scooters but there is adequate storage room should this be required. Staff and residents reported the adequacy of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Room sizes are appropriate, however current door widths in the rooms planned for hospital level care are not adequate.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several lounge areas are spacious and enable easy access for residents and staff.  Residents can access a number of internal and external areas for privacy, if required.  Furniture is appropriate to the setting and residents’ needs. There is consideration of compatibility with other residents for all the younger residents. The inclusion of the newly refurbished upstairs area which accommodates some residents with a need for more privacy and independence, is a responsive initiative.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by rostered staff. Residents have their own laundry which is used by those more independent residents. Care staff demonstrated a sound knowledge of the laundry processes, dirty to 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Chemicals were stored in a lockable cupboard and were in appropriately labelled containers. The level of cleanliness at the facility was particularly high.</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regularly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27 November 2017. A trial evacuation takes place six-monthly with a copy sent to the New Zealand Fire Service, the most recent planned evacuation was in August 2017, with a further evacuation completed the week of the audit due to a false alarm caused by an insect in a detector. This was completed efficiently.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26 residents. Large water storage tanks are located at the complex, and there is a generator available for hire nearby.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checked on handover to the night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doors that open onto outside garden or patio areas. Heating is provided with electric heating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the facility recently obtaining the services of an external infection control specialist service to help inform best practice.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manager/registered nurse share the responsibility of IPC coordinator, with roles and responsibilities defined in a job description. Infection control matters, including surveillance results, are reported monthly to the management team, the staff team and residents,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and this was confirmed by the RN</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current infection prevention and control system is appropriate for hospital-level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coordinators have appropriate skills, knowledge and qualifications for the role, and has been in this role for several years.  The RN has been in role for two years and shares the responsibility with the clinical manager. They have attended external and in-service training in infection prevention and control and attended relevant study days at the DHB and PHO, with support from the infection control team at the DHB, the community laboratory, the GP and public health unit, as required.  Diagnostic results are responded to immediately to ensure timely treatment and resolution of any infections. This was observed occurring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coordinators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Those sighted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suitably qualified coordinators.  Content of the training is documented and was current and understood by staff.  A record of attendance is maintained.   When an infection outbreak or an increase in infection incidence has occurred, there is evidence that additional staff education has been provided in response. There was evidence in a staff communication book of updates, new information and training  </w:t>
            </w:r>
          </w:p>
          <w:p w:rsidR="00EB7645" w:rsidRPr="00BE00C7" w:rsidP="00BE00C7">
            <w:pPr>
              <w:pStyle w:val="OutcomeDescription"/>
              <w:spacing w:before="120" w:after="120"/>
              <w:rPr>
                <w:rFonts w:cs="Arial"/>
                <w:b w:val="0"/>
                <w:lang w:eastAsia="en-NZ"/>
              </w:rPr>
            </w:pPr>
            <w:r w:rsidRPr="00BE00C7">
              <w:rPr>
                <w:rFonts w:cs="Arial"/>
                <w:b w:val="0"/>
                <w:lang w:eastAsia="en-NZ"/>
              </w:rPr>
              <w:t>The results of audits - handwashing, cleaning, for example, are well documented and shared with staff and residents with appropriate action taken (eg, additional training), and followed up for desired outcome.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 Staff stated they reinforce the washing of hands with the residents as this is an area that they often forget to do. The resident meeting is an avenue that the clinical manager and RN utilise to emphasise the key messages and audit findings.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clinical manager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The close monitoring offers some assurance that infection rates in the facility are well managed and addressed. There was a consistent practice of 12 months of data evidenced.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coordinators (the registered nurse and the clinical manager share the role) provide support and oversight for enabler and restraint management in the facility and demonstrated a sound understanding of the organisation’s policies, procedures and practice and her role and responsibilities. Annual organisational reviews occur, and restraint is a part of the regular quality programme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any restraints or enablers. Restraint is used as a last resort when all alternatives have been explored. This was evident from interviews with staff who are actively involved in the ongoing process of minimisation which has seen this facility having no use of restraint for a number of years. Regular training occurs in de-escalation techniques and working with people with challenging behaviours. Staff were observed using these during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76"/>
        <w:gridCol w:w="1280"/>
        <w:gridCol w:w="4691"/>
        <w:gridCol w:w="1894"/>
        <w:gridCol w:w="20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Lodge is planning to provide hospital level care in their facility. To do this there needs to be an increase in the level of registered nursing coverage to meet legislative requirements as the current levels are not sufficient. There is no 24-hour RN coverage or any RNs at the weekends, other than on call. A process is underway to address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not sufficient staff employed to provide registered nursing coverage as required for the provision of hospital level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level of RN coverage meets legislative and contractual requirements and the needs of the residents prior to providing the higher level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1.4.4.1</w:t>
            </w:r>
          </w:p>
          <w:p w:rsidR="00EB7645" w:rsidRPr="00BE00C7" w:rsidP="00BE00C7">
            <w:pPr>
              <w:pStyle w:val="OutcomeDescription"/>
              <w:spacing w:before="120" w:after="120"/>
              <w:rPr>
                <w:rFonts w:cs="Arial"/>
                <w:b w:val="0"/>
                <w:lang w:eastAsia="en-NZ"/>
              </w:rPr>
            </w:pPr>
            <w:r w:rsidRPr="00BE00C7">
              <w:rPr>
                <w:rFonts w:cs="Arial"/>
                <w:b w:val="0"/>
                <w:lang w:eastAsia="en-NZ"/>
              </w:rPr>
              <w:t>Adequate space is provided to allow the consumer and service provider to move safely around their personal space/bed area. Consumers who use mobility aids shall be able to safely maneuvers with the assistance of their aid within their personal space/bed area.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current door widths on the two rooms that are planned to become dual purpose rooms are 870mm for the ranch sliders and 810mm for the doorways. These will not allow a bed to be moved through if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doorways of the rooms intended to provide hospital level care need to be widened to allow any safe exit of residents in beds.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doorways of the allocated rooms meet requirements for the provision of the higher level hospital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Hardwill Group Limited - The Lodge</w:t>
    </w:r>
    <w:bookmarkEnd w:id="58"/>
    <w:r>
      <w:rPr>
        <w:rFonts w:cs="Arial"/>
        <w:sz w:val="16"/>
        <w:szCs w:val="20"/>
      </w:rPr>
      <w:tab/>
      <w:t xml:space="preserve">Date of Audit: </w:t>
    </w:r>
    <w:bookmarkStart w:id="59" w:name="AuditStartDate1"/>
    <w:r>
      <w:rPr>
        <w:rFonts w:cs="Arial"/>
        <w:sz w:val="16"/>
        <w:szCs w:val="20"/>
      </w:rPr>
      <w:t>6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