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Bethsaida Trust Board Incorporated - Bethsaida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Bethsaida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Bethsaida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November 2017</w:t>
      </w:r>
      <w:bookmarkEnd w:id="7"/>
      <w:r w:rsidRPr="009418D4">
        <w:rPr>
          <w:rFonts w:cs="Arial"/>
        </w:rPr>
        <w:tab/>
        <w:t xml:space="preserve">End date: </w:t>
      </w:r>
      <w:bookmarkStart w:id="8" w:name="AuditEndDate"/>
      <w:r w:rsidR="00A4268A">
        <w:rPr>
          <w:rFonts w:cs="Arial"/>
        </w:rPr>
        <w:t>9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Bethsaida Retirement Village provides rest home and hospital level care for up to 43 residents. The service is operated by the Bethsaida Trust Board Incorporated, a registered charitable trust, and managed by a facility manager supported by a clinical nurse leader.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 nurse practitioner and a general practitioner. The facility manager was on leave on the day of the audit but was available for an interview by telephone. </w:t>
      </w:r>
    </w:p>
    <w:p w:rsidRPr="00A4268A">
      <w:pPr>
        <w:spacing w:before="240" w:line="276" w:lineRule="auto"/>
        <w:rPr>
          <w:rFonts w:eastAsia="Calibri"/>
        </w:rPr>
      </w:pPr>
      <w:r w:rsidRPr="00A4268A">
        <w:rPr>
          <w:rFonts w:eastAsia="Calibri"/>
        </w:rPr>
        <w:t xml:space="preserve">Improvements have been made to training and residents’ activity plans, addressing those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goals, purpose,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that management were accessible and approachable, they felt well informed and involved in care planning and evaluation, and that the care provided was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a recreation officer and provides residents with a variety of individual and group activities and maintains their links with the community.  Access to community vans enables frequent outings whilst a facility van is unavailable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enabler and three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6"/>
        <w:gridCol w:w="1280"/>
        <w:gridCol w:w="10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Forms are also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 any required follow up and improvements have been made where possible.  The facility manager is responsible for complaints management and follow up. All staff interviewed confirmed a sound understanding of the complaint process and what actions are required. There has been one complaint to the Health and Disability Commissioner which met the timeframes and resulted in no further action being taken. This was resolved and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the fact that all current residents speak English. One French resident has conversations with a staff member who is fluent in French, which provides some special times for that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mission and goals of the organisation. The documents describe annual and longer term objectives and the associated operational plans. A sample of monthly reports to the board of trustees showed adequate information to monitor performance is reported including financial performance, quality reports, resident changes, staffing, emerging risks and issues and departmental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four years. Responsibilities and accountabilities are defined in a job description and individual employment agreement. The facility manager confirmed knowledge of the sector, regulatory and reporting requirements and maintains currency through her nursing registration, attendance at relevant management conferences and in-service education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residential aged care and respite care. 14 residents were receiving services under the aged care hospital level contract and 25 at rest home level at the time of audit. There were no current residents receiving respite or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regular internal audit activities, resident satisfaction surveys, monitoring of outcomes, clinical incidents including infections and wound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board meetings, quality and risk team meetings and clinical and general staff meetings. Staff reported their involvement in quality and risk management activities through audit activities and their respective group team meetings. A communication book is kept which records all specific policy changes, quality activity and events that staff need to be aware of. These are required to be signed when read by staff.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Residents have regular three monthly meetings facilitated by the facility manager. A review of minutes identified discussions about the menu choices for the tea meal. This was addressed and residents are now able to request any alternative meals the may differ from the current facility menu if they wish by informing the kitchen before 3.30pm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clinical nurse leader, who is also the health and safety representative,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the incident forms reviewed showed these were fully completed, incidents were investigated, action plans developed and actions followed-up in a timely manner.  Adverse event data is collated, analysed and reported through the electronic quality system.</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described essential notification reporting requirements, including for pressure injuries. She advised there have been no notifications of significant events made to the Ministry of Health or other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90 day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This was an area identified as an issue at the last audit due to the lack of training available in the area. This has now been addressed and eight RNs are now fully trained and component.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 using a safe staffing tool, assessed need levels, staff experience levels and qualifications along with staff consultation.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from the facility casual pool.  At least one staff member on duty has a current first aid certificate and there is 24//7 RN coverage in the hospital. The clinical nurse leader, who completes the rosters, is responsive to requests from staff for a range of work hour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CNL and recorded on an accident/incident data log.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is in line with recognised nutritional guidelines for older people.  The menu follows summer and winter patterns and has been reviewed by a qualified dietitian in May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is a qualified chef and has safe food handling qualifications,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Interviews with the GP and NP,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and a recreational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A facility van is unavailable for outings, at the time of audit, however access to community vans enable residents to go on outings regularly.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and Clinical Nurse Leader (CNL).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three or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current building warrant of fitness (expiry date 1 July 2018)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and on a short term care plan.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CNL who is the infection control nurse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externally with other aged care providers. Observation verified that infection rates are low in comparison with other members of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and one resident was using an enabler,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Bethsaida Trust Board Incorporated - Bethsaida Retirement Village</w:t>
    </w:r>
    <w:bookmarkEnd w:id="58"/>
    <w:r>
      <w:rPr>
        <w:rFonts w:cs="Arial"/>
        <w:sz w:val="16"/>
        <w:szCs w:val="20"/>
      </w:rPr>
      <w:tab/>
      <w:t xml:space="preserve">Date of Audit: </w:t>
    </w:r>
    <w:bookmarkStart w:id="59" w:name="AuditStartDate1"/>
    <w:r>
      <w:rPr>
        <w:rFonts w:cs="Arial"/>
        <w:sz w:val="16"/>
        <w:szCs w:val="20"/>
      </w:rPr>
      <w:t>9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