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North Waikato Care of the Aged Trust Board - Kimikia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North Waikato Care of the Aged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Kimihia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November 2017</w:t>
      </w:r>
      <w:bookmarkEnd w:id="7"/>
      <w:r w:rsidRPr="009418D4">
        <w:rPr>
          <w:rFonts w:cs="Arial"/>
        </w:rPr>
        <w:tab/>
        <w:t xml:space="preserve">End date: </w:t>
      </w:r>
      <w:bookmarkStart w:id="8" w:name="AuditEndDate"/>
      <w:r w:rsidR="00A4268A">
        <w:rPr>
          <w:rFonts w:cs="Arial"/>
        </w:rPr>
        <w:t>1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Kimihia Home and Hospital provides rest home and hospital level care, respite care and convalescent care for up to 77 residents. The service is operated by The North Waikato Care of the Aged Trust Board Incorporated which was formed in 1972. The facility is a community trust. There are 12 board members. The day to day services are managed by a facility manager who is supported by two clinical nurse managers. All three members of the management team are registered nurses. There has been a change in management structure and facility manager since the previous audit which was notified to the Ministry of Health.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the contracted physiotherapist, gerontology nurse specialist from Waikato DHB, a community mental health nurse from the Mental Health Services for Older Persons and a general practitioner.  </w:t>
      </w:r>
    </w:p>
    <w:p w:rsidRPr="00A4268A">
      <w:pPr>
        <w:spacing w:before="240" w:line="276" w:lineRule="auto"/>
        <w:rPr>
          <w:rFonts w:eastAsia="Calibri"/>
        </w:rPr>
      </w:pPr>
      <w:r w:rsidRPr="00A4268A">
        <w:rPr>
          <w:rFonts w:eastAsia="Calibri"/>
        </w:rPr>
        <w:t xml:space="preserve">This audit has resulted in a continuous improvement in relation to the service delivery team approach and identified three areas requiring improvement relating to sharing of quality data results, human resources and monitoring of fridges.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systems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and medical equipment is tested at least annually or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and eight restraints are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9"/>
        <w:gridCol w:w="1280"/>
        <w:gridCol w:w="93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Kimihia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and evidenced in all resident’s files reviewed.  Where a resident is deemed incompetent to make an informed choice the enduring power of attorney (EPOA) will consent on behalf of the resident.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facility manager provided examples of the involvement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complaints/concerns policy and associated forms meet the requirements of Right 10 of the Code.  Information on the complaint process is provided to residents and families on admission and those interviewed knew how to do so.  Complaints forms are located around several areas of the facility and are accessible to residents and visitors.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12 complaints have been received over the past year and that actions taken, through to an agreed resolution, are documented and completed within the timeframes.  Action plans show any required follow up and improvements have been made where possible.  The facility manager is responsible for complaints management and follow up. All staff interviewed confirmed a sound understanding of the complaint process and what actions are required. There were no open complaints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as part of the admission information provided and discussions with staff.  The Code is displayed in the main foyer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or share a room with another person/s with their consent.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community activities, arranging their own visits to the doctor, participation in clubs of their choosing and going out with family on a daily basis.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The residents and whanau were unavailable at the time of audit for interview, however documentation in the residents’ files showed good communication demonstrating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and staff being able to provide interpretation as and when needed.  Language and communication needs and use of alternative information and communication methods are available and used to support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overall governance of the facility is managed by a board of trustees consisting of 12 members who are from a general mix of local community services. The strategic and business plans, which are reviewed annually, outline the purpose, values, scope, direction and goals of the organisation. The documents describe annual and longer term objectives and the associated operational plans. A sample of monthly reports to the board of trustees showed adequate information to monitor performance is reported including new providers, staffing, quality data results, financial performance, emerging risks and issues. An interview with the board chairman confirmed there is excellent communication between the facility manager and the board and that he visits the facility at least once a week so that he is fully aware of any issues or concerns. A change of Trustees was notified to the Ministry of Health in September 2017.</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service is managed by a facility manager who is a registered nurse and who holds relevant qualifications. They have been in the role for eight months but have worked at the facility prior to this, firstly, as a registered nurse in 2008, then from 2011 as a clinical nurse manager. Change of management was notified to the Ministry of Health (MOH) in April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are defined in a job description and individual employment agreement.  The facility manager confirmed knowledge of the sector, regulatory and reporting requirements and maintains currency through attendance at professional forums run by the New Zealand Nurses’ Organisation, gerontology workshops at WDHB, completion of human resources studies and participates in the WDHB Professional Development and Recognition Programme, including related education. She is supported by two clinical nurse managers who are both registered nurses, an accounts manager and the household services supervisor.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Waikato District Health Board (WDHB) for respite, convalescent care (medical), rest home care and hospital level care and the Ministry of Health (MOH) for residents under 65 years. At the time of audit there were 76 residents, 72 residents were receiving services under the Age Related Residential Care contract; 10 secure dementia care, 24 hospital level and 38 rest home level care. (WDBH contract).</w:t>
            </w:r>
          </w:p>
          <w:p w:rsidR="00EB7645" w:rsidRPr="00BE00C7" w:rsidP="00BE00C7">
            <w:pPr>
              <w:pStyle w:val="OutcomeDescription"/>
              <w:spacing w:before="120" w:after="120"/>
              <w:rPr>
                <w:rFonts w:cs="Arial"/>
                <w:b w:val="0"/>
                <w:lang w:eastAsia="en-NZ"/>
              </w:rPr>
            </w:pPr>
            <w:r w:rsidRPr="00BE00C7">
              <w:rPr>
                <w:rFonts w:cs="Arial"/>
                <w:b w:val="0"/>
                <w:lang w:eastAsia="en-NZ"/>
              </w:rPr>
              <w:t>Two rest home level care residents were under the Residential Respite Contract (WDHB).</w:t>
            </w:r>
          </w:p>
          <w:p w:rsidR="00EB7645" w:rsidRPr="00BE00C7" w:rsidP="00BE00C7">
            <w:pPr>
              <w:pStyle w:val="OutcomeDescription"/>
              <w:spacing w:before="120" w:after="120"/>
              <w:rPr>
                <w:rFonts w:cs="Arial"/>
                <w:b w:val="0"/>
                <w:lang w:eastAsia="en-NZ"/>
              </w:rPr>
            </w:pPr>
            <w:r w:rsidRPr="00BE00C7">
              <w:rPr>
                <w:rFonts w:cs="Arial"/>
                <w:b w:val="0"/>
                <w:lang w:eastAsia="en-NZ"/>
              </w:rPr>
              <w:t>One hospital level care resident was receiving services under the Residential Non-Aged Contract (MOH).</w:t>
            </w:r>
          </w:p>
          <w:p w:rsidR="00EB7645" w:rsidRPr="00BE00C7" w:rsidP="00BE00C7">
            <w:pPr>
              <w:pStyle w:val="OutcomeDescription"/>
              <w:spacing w:before="120" w:after="120"/>
              <w:rPr>
                <w:rFonts w:cs="Arial"/>
                <w:b w:val="0"/>
                <w:lang w:eastAsia="en-NZ"/>
              </w:rPr>
            </w:pPr>
            <w:r w:rsidRPr="00BE00C7">
              <w:rPr>
                <w:rFonts w:cs="Arial"/>
                <w:b w:val="0"/>
                <w:lang w:eastAsia="en-NZ"/>
              </w:rPr>
              <w:t>One hospital level care and one rest home level care resident received services under the WDHB Convalescent Care Contract. (This contract is funded from WDHB Person-centred Acute Community Care (PACC) funding).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senior CNM and accounts manager carries out all the required duties under delegated authority. During absences of key clinical staff, the clinical management is overseen by one of the CNMs. Both are experienced in the sector and able to take responsibility for any clinical issues that may arise. If both CNMs were to be away, the clinical oversight would be undertaken by the facility manager.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clinical incidents including infections and ‘wandering’, medication errors, challenging behaviour, pressure injuries and wounds.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 health and safety meetings, and board meetings. Reports of completed data are available to all staff, but there is no evidence to show they are discussed at staff meetings. Staff reported their involvement in quality and risk management activities through audit activities and corrective action implementation. Relevant corrective actions are developed and implemented to address any shortfalls. One quality initiative is the use of a ‘Dementia resident surveillance form’ which identifies for each resident the type of dementia, challenges identified, the frequency of any challenging behaviour and pattern of occurrence and the management strategies to de-escalate a situation. (Refer comment in criterion 1.3.3.4). The quality data is compared to other on-site data and benchmarked against eight other like facilities who belong to the Community Trusts in Care Aotearoa (CTCA)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in March 2017, showed questions were raised around food services, laundry and activity diversity. The facility manager, CNMs and staff confirmed these were followed up and actions were taken to rectify the issues. Not all corrective actions were clearly documented and although staff can verbalise the positive outcomes, this evaluation is not documented. (Refer comments in criterion 1.2.3.6.)  No negative comments were made by any person interviewed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All policies and procedures sighted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champion and facility manager described the processes for the identification, monitoring, review and reporting of risks and development of mitigation strategies. The manager is familiar with the Health and Safety at Work Act (2015) and has implemented requirements.  The monthly health and safety committee meet monthly as part of the RN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presented monthly to the board allows achievement against the quality and risk management plan to be measured.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RN meeting and reviewed by the health and safety committee. This information is included in the report presented to the board by the facility manager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CNMs described essential notification reporting requirements, including for pressure injuries.  They advised the only significant event has been reported using Section 31 reporting made to the Ministry of Health related to aggressive behaviour of a resident in November 2016. The police were involved to assist as required. There have been no police investigations, coroner’s inquests, issues based audits and any other notifications, such as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not being consistently implemented, not all files contained completed staff orientation records, and annual appraisals are not all up to date.  Orientation records sighted that were completed, included all necessary components relevant to the role. Staff reported that the orientation process prepared them well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(NZQA) education programme to meet the requirements of the provider’s agreement with the DHB. A staff member is the internal assessor for the programme. At the time of audit, 19 caregivers have completed a NZQA level four qualification, plus the enrolled nurse and two diversional therapists, four caregivers have completed level three plus the rehabilitation assistant, two caregivers have completed level two and 15 caregivers have commenced NZQA papers and are at various stages of completion. All household staff who work in the kitchen hold NZQA standard 167 and safe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RNs have completed their professional development and recognition programme (PDRP) requirements with WDHB with appropriate endorsements sighted for two staff. Three recently employed RNs have yet to commence the PDRP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The facility manager and two CNMs share on call duties.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four weeks’ rosters confirmed adequate staff cover has been provided, with staff replaced in any unplanned absence.  At least one staff member on duty has a current first aid certificate and there is 24 hour/seven days a week RN coverage in the hospital. The service uses interRAI information in relation to supporting staffing decisions related to residents’ needs and acuity. </w:t>
            </w:r>
          </w:p>
          <w:p w:rsidR="00EB7645" w:rsidRPr="00BE00C7" w:rsidP="00BE00C7">
            <w:pPr>
              <w:pStyle w:val="OutcomeDescription"/>
              <w:spacing w:before="120" w:after="120"/>
              <w:rPr>
                <w:rFonts w:cs="Arial"/>
                <w:b w:val="0"/>
                <w:lang w:eastAsia="en-NZ"/>
              </w:rPr>
            </w:pPr>
            <w:r w:rsidRPr="00BE00C7">
              <w:rPr>
                <w:rFonts w:cs="Arial"/>
                <w:b w:val="0"/>
                <w:lang w:eastAsia="en-NZ"/>
              </w:rPr>
              <w:t>Dedicated staff work in the dementia care secure unit for all shifts.</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household staff who work eight hour shifts to cover the kitchen, cleaning and distribution of linen, seven days a week. Two diversional therapists work Monday to Friday 72 hours per week, plus an activities assistant eight hours per week.  A contracted physiotherapist works six to eight hours per week and a rehabilitation assistant works Monday to Friday 40 hours per week.  Reception is staffed Monday to Friday 40 hours per week and an accounts administration works 30 hours per week.  The administration person, CNMs, and accounts manager work Monday to Friday 40 hours per week, and the facility manager works Monday to Friday 37.5 hours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Disability Support Link Assessment and Service Coordination (DSL) Service. Prospective residents and/or their families are encouraged to visit the facility prior to admission and are provided with written information about the service and the admission process.   The organisation seeks updated information from DSL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which included EPOA consent and acknowledgement for residents whom have a cognitive impairment.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between all parties.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 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the last controlled drug audit was completed in August of 2017 and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four medicine fridges and the two medication rooms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residents who self-administer medications. All four residents at the time of audit did not have medication stored securely in their bedrooms. By the end of the audit, three residents’ medications were secured, and one resident’s medication was returned to the medication room.  Up to date documentation of competence was sighted for all four residents self-administering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qualified cooks, household staff, and a dedicated kitchen team, overseen by a household supervisor, and is in line with recognised nutritional guidelines for older people.  The menu follows summer and winter patterns and was last reviewed by a qualified dietitian in April of 2016 with an ‘excellent rating’.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food procurement, production, preparation, storage, transportation, delivery and disposal comply with current legislation and guidelines however there is a total of twelve food fridges within the facility that are not being regularly monitored. The service is currently developing an approved food safety plan and is aware of the deadline date of March 2018.  Food temperatures, including for high risk items, are monitored appropriately and recorded as part of the plan. The household supervisor and kitchen staff have undertaken safe food handling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is advised to ensure the prospective resident and family are supported to find an appropriate care alternative. If the needs of a resident change and they are no longer suitable for the services offered, a referral for reassessment to the DSL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challenging behaviours and depression scale as a means to identify any deficits and to inform care planning when the resident is initially admitted to the facility. The sample of care plans reviewed had an integrated range of resident-related information.  All residents have current interRAI assessments completed by one of three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Resident files reviewed for behaviour management plans including triggers and interventions for behaviours.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The clinical nurse specialist for gerontology and community mental health nurse for mental health services for older people were also interviewed and stated that the communication is good and care is also provided to a high level.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holding the national Certificate in Diversional Therapy and an activities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interactive.</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such as music and one to one interaction.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persons and the dietician.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Housekeeping staff have all completed safe chemical handling training within the past year.  An external company is contracted to supply and manage all chemicals and cleaning products and they also provide relevant training for staff. Material safety data sheets were available where chemicals are stored.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31 March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(tested in August and September 2017) and calibration of bio medical equipment (tested February 2017) was current as confirmed in documentation reviewed. The service has appropriate equipment to manage residents of all levels of care which includes oximeter, oxygen concentrators and regulators, suction, electric beds, sit on weigh scales, two bedrooms with ceiling hoists and four mobile hoists.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on a contracted basis. Observation of the environment confirms the facility is maintained to an appropriate standard. Staff confirmed they know the processes they should follow if any repairs or maintenance is required. Documentation identifies requests are appropriately actioned in a timely manner. This was supported by residents and families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residents were safe and independence was promoted. There are dedicated storage areas for equipment. Monthly environmental audits are conducted and findings reviewed by the health and safety champion who reports all actions to the registered nurse meeting and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secure dementia care area has an easily accessible outdoor area, with shade, seating, fruit trees and winding paths.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thirteen bedrooms with full ensuite facilities and separate staff and visitor toilet areas.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are four bedrooms with four beds in each room. Permission is always gained from the resident or the EPOA prior to accepting a resident into one of these rooms. Each bed has a call bell, curtains that provide visual privacy and an attached conservatory area at one end which allow safe storage of chairs when they are not in use. This area can be used for residents during the day if they choose. All other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dementia area has a dining and lounge area which are also used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open care unit there are three lounge areas, three dining areas, a chapel, a physiotherapy rehabilitation room, and a large lounge which is also used for activities, such as bingo as tables and chairs that can be set up for this. The diversional therapists’ room is located at one end of this lounge area. </w:t>
            </w:r>
          </w:p>
          <w:p w:rsidR="00EB7645" w:rsidRPr="00BE00C7" w:rsidP="00BE00C7">
            <w:pPr>
              <w:pStyle w:val="OutcomeDescription"/>
              <w:spacing w:before="120" w:after="120"/>
              <w:rPr>
                <w:rFonts w:cs="Arial"/>
                <w:b w:val="0"/>
                <w:lang w:eastAsia="en-NZ"/>
              </w:rPr>
            </w:pPr>
            <w:r w:rsidRPr="00BE00C7">
              <w:rPr>
                <w:rFonts w:cs="Arial"/>
                <w:b w:val="0"/>
                <w:lang w:eastAsia="en-NZ"/>
              </w:rPr>
              <w:t>The dining and lounge areas are spacious and enable easy access for residents and staff.  There are also small seating areas where residents can access areas for privacy, if required.  Furniture is appropriate to the setting and residents’ needs. There is also a dedicated doctors’ room used for consultations and family meetings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contracted to an off-site provider. However, facilities allow residents to do their own personal washing if they wish and short stay respite residents’ personal washing is done onsite. All long-term residents’ clothing is microchipped and clearly labelled. This is a quality improvement which has been implemented since the previous audit. Each resident’s clothing is returned to the facility in individually packed plastic bags which are clearly labelled to say who the clothing belongs too. Housekeeping staff deliver the residents’ clothing to their bedrooms. When the laundry service was contracted off-site, some personal clothing was damaged as identified in the complaints log sighted. The service replaced damaged clothing and have taken actions to prevent this re-occurring. </w:t>
            </w:r>
          </w:p>
          <w:p w:rsidR="00EB7645" w:rsidRPr="00BE00C7" w:rsidP="00BE00C7">
            <w:pPr>
              <w:pStyle w:val="OutcomeDescription"/>
              <w:spacing w:before="120" w:after="120"/>
              <w:rPr>
                <w:rFonts w:cs="Arial"/>
                <w:b w:val="0"/>
                <w:lang w:eastAsia="en-NZ"/>
              </w:rPr>
            </w:pPr>
            <w:r w:rsidRPr="00BE00C7">
              <w:rPr>
                <w:rFonts w:cs="Arial"/>
                <w:b w:val="0"/>
                <w:lang w:eastAsia="en-NZ"/>
              </w:rPr>
              <w:t>Both care staff and housekeeping staff demonstrated a sound knowledge of the laundry processes, clean flow of laundry returned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housekeeping team which consists of cooks, cleaners and laundry staff, have received appropriate training. Most members of the housekeeping team can work in all three areas. All staff have undertaken appropriate New Zealand Qualifications in safe food handling and have annual safe chemical handling education as was sighted in education files reviewed.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visual checks undertaken by the housekeeping supervisor.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are used to direct the facility in their preparation for disasters and described the procedures to be followed in the event of a fire or other emergency.   The current fire evacuation plan was approved by the New Zealand Fire Service on the 08 November 2012.  A trial evacuation takes place six-monthly by an approved contracted provider; the most recent being on 22 May 2017 with no follow up required. There next fire evacuation is booked for the week following audit as confirmed in emails sighted. The orientation programme includes fire and security training.  Staff confirmed their awareness of the emergency procedures. Staff attendance at fire and emergency training is compulsory and this is overseen by one of the CNMs. Actions are taken to remind staff if they have not met this requirement.</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77 residents. Water storage tanks are located in the grounds of the complex with bottled drinking water stored indoors. There is a diesel generator on site which lasts up to 48 hours.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All areas have a call bell system which residents and families reported staff respond to promptly.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This is confirmed in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A ‘wander guard’ system is in place so that staff can be alerted if residents who tend to wander go past a certain point. This is only used with the consent of the resident’s EPOA as identified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two bedrooms have doors that open onto outside garden. Heating is provided by gas heated water radiators in residents’ rooms in the communal areas.</w:t>
            </w:r>
          </w:p>
          <w:p w:rsidR="00EB7645" w:rsidRPr="00BE00C7" w:rsidP="00BE00C7">
            <w:pPr>
              <w:pStyle w:val="OutcomeDescription"/>
              <w:spacing w:before="120" w:after="120"/>
              <w:rPr>
                <w:rFonts w:cs="Arial"/>
                <w:b w:val="0"/>
                <w:lang w:eastAsia="en-NZ"/>
              </w:rPr>
            </w:pPr>
            <w:r w:rsidRPr="00BE00C7">
              <w:rPr>
                <w:rFonts w:cs="Arial"/>
                <w:b w:val="0"/>
                <w:lang w:eastAsia="en-NZ"/>
              </w:rPr>
              <w:t>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clinical nurse specialists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coordinator/registered nurse is the designated IPC coordinator, whose role and responsibilities are defined in a job description. Infection control matters, including surveillance results, are reported monthly to the facility manager, tabled at the health and safety committee meeting and a report is provided to the board.  This committee includes the 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is not evident at the main entrance to the facility, however staff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eight months.  She has undertaken a certificate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and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registered staff meetings, however this information is not extended to caregivers’ meetings (please see criterion 1.2.3.6). This information is sighted in the staff room for staff to view.  Graphs are produced that identify trends for the current year and comparisons against previous years, and this is reported to the facility manager.   Data is benchmarked externally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eight residents were using restraints (all in the open care unit, not used in dementia) and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(RN meeting),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registered nurses, is led by the restraint coordinator who is one of the CNMs. The restraint coordinator, RNs and GP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CNM interviewed/restraint coordinator described the documented process which was confirmed in residents’ files reviewed.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The restraint coordinator described how alternatives to restraints are discussed with staff and family members such as the use of sensor mats, low beds and de-escalation.  The restraint register and meeting minutes identifies restraints that have been commenced and those that have ceased. Once a resident has restraint stopped they are put onto a short term care plan for close monitoring until the restraint committee agree this was a safe decision to make. Short term care plans are also put in place when a resident first commences on restraint to ensure all staff are aware of this and the required monitoring times. If after one month it is agreed that the restraint is safe for the resident the short term care plan ceases and the monitoring is undertaken according to assessment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being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Six monthly restraint meetings and reports are completed and individual use of restraint use is reported at RN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staff and management confirmed that the use of restraint has been reduced by two over the past six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948"/>
        <w:gridCol w:w="2044"/>
        <w:gridCol w:w="16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and analysed monthly at senior management level. Corrective actions are put in place and management and staff can verbalise the outcomes. This can also be seen in data results, such as skin tears being reduced from 28 in April 2017 to 10 in September 2017; however, evaluation of corrective actions is not well documented. Quality data results are posted on a board in the staff room which all staff have access to, but they are not reported at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findings are not discussed at staff meetings and there is limited documented evaluation of findings.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quality data corrective action outcomes are evaluated and that all quality data is shared with all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receive an in-depth orientation which covers the essential components of the service provided, including emergency management, policies and procedures, infection control and health and safety. However, of ten staff files reviewed, only three contained completed orientation records. It was also noted that senior management staff appraisals have not been undertaken for 2017. The service has a programme in place to ensure these are to be completed within the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orientations information could be located in the staff files reviewed. Not all staff annual appraisals are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have completed an orientation and that annual appraisals are kept up to date to meet contractual requirement D17.7 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very low infection rate.  There is a total of twelve food fridges within the facility (11 studio, two rest home residents with fridges in their rooms and three remaining kitchenette fridges in three communal areas of the facility). At the time of audit these fridges were not monitored, or temperatures checked and recorded, despite the fridges not being monitored, there was no indication that the fridges were not being managed safely.  A register was developed by the end of the audit.  The facility manager stated that the temperatures monitoring and recording of the fridges would be commenced the following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the cleaning schedule in the kitchen is being implemented.  Temperatures and contents of 12 (twelve) resident fridges are not being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fridges are monitored to comply with safe food hygiene and correct temperatures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7253"/>
        <w:gridCol w:w="41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Kimihia Home and Hospital has created a ‘paper round’ which occurs monthly and is an extension and more in-depth review of a resident than would normally occur at a multidisciplinary meeting.  A team approach occurs and includes the facility manager, clinical nurse manager, diversional therapist, physiotherapist, rehabilitation assistant, GP and Nurse Practitioner for Gerontology.  Other health care professionals from different areas are also invited to attend.   A client centred approach occurs, and all aspects related to the resident’s care and issues arising are discussed.  There is an emphasis to trial and provide non-pharmacological interventions based on evidence and information collated by staff.  Care plans are updated, reviewed and evaluated.  Care staff interviewed stated that any changes to care and outcomes are discussed in handover.  Residents and families interviewed stated that they are included in this assessment approach and are very satisfied with both the care that is provided and the attention to detail.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Kimihia Home and Hospital has achieved a continuous improvement in development of the ‘paper round’.  There are clearly documented findings and evidence of actions taken based on the findings. The improvements made to the service provision and resident safety or satisfaction is measurable. This was supported during staff, resident and family interviews and in the resident satisfaction survey results sighted gaining an overall higher satisfaction result for overall care services. All benefits gained, and outcomes achieved have either a resident safety or satisfaction component.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North Waikato Care of the Aged Trust Board - Kimikia Home &amp; Hospital</w:t>
    </w:r>
    <w:bookmarkEnd w:id="58"/>
    <w:r>
      <w:rPr>
        <w:rFonts w:cs="Arial"/>
        <w:sz w:val="16"/>
        <w:szCs w:val="20"/>
      </w:rPr>
      <w:tab/>
      <w:t xml:space="preserve">Date of Audit: </w:t>
    </w:r>
    <w:bookmarkStart w:id="59" w:name="AuditStartDate1"/>
    <w:r>
      <w:rPr>
        <w:rFonts w:cs="Arial"/>
        <w:sz w:val="16"/>
        <w:szCs w:val="20"/>
      </w:rPr>
      <w:t>30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