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Anglican-Methodist South Canterbury Glenwood HomeTrust Board - Glenwood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Anglican-Methodist South Canterbury Glenwood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2017</w:t>
      </w:r>
      <w:bookmarkEnd w:id="7"/>
      <w:r w:rsidRPr="009418D4">
        <w:rPr>
          <w:rFonts w:cs="Arial"/>
        </w:rPr>
        <w:tab/>
        <w:t xml:space="preserve">End date: </w:t>
      </w:r>
      <w:bookmarkStart w:id="8" w:name="AuditEndDate"/>
      <w:r w:rsidR="00A4268A">
        <w:rPr>
          <w:rFonts w:cs="Arial"/>
        </w:rPr>
        <w:t>5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Anglican-Methodist South Canterbury Glenwood Home Trust Board owns and operates Glenwood Home.  Glenwood Home provides rest home and hospital level of care for up to 42 residents.  There were 40 residents at Glenwood Home on the day of audit.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is a speech language therapist with significant health management experience and works full time.  She has been in the position for 18 months.  She is supported by a clinical manager with considerable experience in aged care, who has been in the role for two and a half years. </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at Glenwood.  </w:t>
      </w:r>
    </w:p>
    <w:p w:rsidRPr="00A4268A">
      <w:pPr>
        <w:spacing w:before="240" w:line="276" w:lineRule="auto"/>
        <w:rPr>
          <w:rFonts w:eastAsia="Calibri"/>
        </w:rPr>
      </w:pPr>
      <w:r w:rsidRPr="00A4268A">
        <w:rPr>
          <w:rFonts w:eastAsia="Calibri"/>
        </w:rPr>
        <w:t xml:space="preserve">Three of the three shortfalls identified as part of the previous partial provisional audit have been addressed.  These were around recruitment of staff, orientation of staff and additional training for staff around where caring for residents with a higher level of need would be required.  </w:t>
      </w:r>
    </w:p>
    <w:p w:rsidRPr="00A4268A">
      <w:pPr>
        <w:spacing w:before="240" w:line="276" w:lineRule="auto"/>
        <w:rPr>
          <w:rFonts w:eastAsia="Calibri"/>
        </w:rPr>
      </w:pPr>
      <w:r w:rsidRPr="00A4268A">
        <w:rPr>
          <w:rFonts w:eastAsia="Calibri"/>
        </w:rPr>
        <w:t>The previous certification audit did not identify any areas requiring improvement.</w:t>
      </w:r>
    </w:p>
    <w:p w:rsidRPr="00A4268A">
      <w:pPr>
        <w:spacing w:before="240" w:line="276" w:lineRule="auto"/>
        <w:rPr>
          <w:rFonts w:eastAsia="Calibri"/>
        </w:rPr>
      </w:pPr>
      <w:r w:rsidRPr="00A4268A">
        <w:rPr>
          <w:rFonts w:eastAsia="Calibri"/>
        </w:rPr>
        <w:t>This audit has identified one area requiring improvement around documenting indication for use for ‘as required’ medications.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Glenwood Home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There have been three complaints made in 2017 and five in 2016.  All complaints have been managed in line with Right 10 of the Code.  A review of complaints documentation evidenced resolution of the complaint to the satisfaction of the complainant and advocacy offered.  Residents (four rest home and three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and clinical manager confirmed family are kept informed.  Relatives (two hospital and one rest home)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Anglican-Methodist South Canterbury Glenwood Home Trust Board owns and operates Glenwood Home.  The service provides care for up to 42 residents (including 29 dual-purpose beds and 13 rest home beds).  On the day of audit, there were 23 rest home residents (including one on an independent funding contract) and 17 hospital care residents (including one on an end of life contract).  All other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and the inclusion of adding hospital services.  The service has quality goals, which have been reviewed regularly.  The facility manager has significant experience in health management and has been in the role at Glenwood Home for 18 months.  The manager is supported by an experienced clinical manager (registered nurse), with a background in aged care.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at least eight hours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Home has a well-established and comprehensive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reviews documented for activities, health and safety, risk management, complaints, infection control and medications.  This information has been used to formulate ongoing business and quality plans.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healthcare assistants, one registered nurse, one cook, one diversional therapist and the head cook) confirmed they are made aware of any new/reviewed policies.  There are sufficient clinical policies/procedures to support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Glenwood Home board meet monthly and the facility manager attends the meeting and provides a monthly report.  The quality plan is reviewed for effectiveness each meeting.  Board members tour the facility bi-monthly.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quality and health and safety, full staff meetings, kitchen meetings, resident and relative meetings, diversional therapy and cleaners meetings.  Meetings minutes sighted evidence there is discussion around quality data including complaints, compliments, health and safety, accident/incident, infection control, internal audits and survey results.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three-monthly summary of internal audit outcomes is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monthly staff meetings and the three-monthly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 service has reported four fractures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practising certificates and allied health professionals is current.  Six staff files were reviewed (two RNs, two healthcare assistants, one diversional therapist and one cook).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These previously identified shortfalls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The programme has been updated to include caring for residents with a higher level of care including but not limited to: manual handling and turning residents, pressure injury prevention, end of life, continence and care of catheters.  This previously identified shortfall has been addressed.  Six of the eight RNs have completed interRAI training.  Clinical staff complete competencies relevant to their role.  The RNs and clinical manager have completed syringe driver training and have access to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An RN is available on call weekends and after hours and can contact the clinical manager as required for clinical concerns.  The facility manager (non-clinical) and the clinical manager/RN are on duty during the day Monday to Friday.  There is a RN on duty 24 hours.  There are five healthcare assistants on both morning and afternoon shifts and two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clinical and facility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Medication orders do not always include indications for use of ‘as needed’ medicines.  Short-life medications (i.e., eye drops and ointments) are dated once opened.  Education on medication management has occurred with competencies conducted for the registered nurse and senior healthcare assistants with medication administration responsibilities.  Administration sheets sampled were appropriately signed.  Ten medication charts reviewed identified that the GP had seen the resident three-monthly and the medication chart was signed each time a medicine was administered by staff.  A registered nurse was observed administering medications and followed correct procedures.  Two residents self-administer medicines and have current competency assessments around this.  They have access to secure storage in their rooms.  Staff check each shift that these residents have safely self-administered their medications and record this on the medication administration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commercial kitchen, which is located centrally in the facility.  The majority of food is prepared and cooked on-site.  There are three cooks that are rostered over a 2-week roster period (main cook and kitchen hand. Then a tea cook later in the day). The menu is a 4-week rotating menu.  The main meal of the day is served at lunchtime.  All kitchen staff have completed food safety training.  The menu has been approved by a dietitian.  A food services manual is available to ensure that all stages of food delivery to residents comply with standards, legislation and guidelines.  All fridges and freezer temperatures are recorded daily on the recording sheet sighted.  Food temperatures are recorded daily.  All food is served directly from the kitchen to residents in the dining room or to their rooms as required.  A tray service is available if required by residents.  All food in the freezer and fridge was labelled and dated.  Food procurement occurs from commercial operators.  Kitchen waste is collected by commercial operators.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and currently the kitchen is catering for a resident who prefers gluten-free meals.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the resident’s plan of care.  The interRAI assessment process informs the development of the care plan.  Care plans sampled were goal orientated and reviewed at six monthly intervals (for long-term residents).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 end of life resident file sampled had a plan of care with all appropriate needs documented.  The independent funding contract resident had regular input from the mental health team and a relapse prevention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residents with nine wounds at the time of the audit.  One resident had a grade 1 pressure injury.  Assessments, management plans and documented reviews were in place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two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staff employed (one a diversional therapist and one a diversional therapist in training) who are responsible for the planning and delivery of the individual and group activities programme with assistance from staff.  There are organised activities for seven hours per day,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the large communal dining room, in seating areas and outdoors in the gardens when weather permits.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in the lounge,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Home has its own van for transportation.  The DT drives the van and has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There was documented evidence that care plan evaluations were current in resident files sampled.  Two residents were new to the service and had not yet required care plan evaluations.  Care plan reviews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or enablers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5"/>
        <w:gridCol w:w="1280"/>
        <w:gridCol w:w="5158"/>
        <w:gridCol w:w="2180"/>
        <w:gridCol w:w="18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GPs prescribe all medications.  Medication charts included the date started for all medications and stopped where relevant.  All charts sampled were legible and had been reviewed three-monthly.  Indications for use for ‘as required’ medications were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ten medication charts sampled did not have indications for use documented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 required’ medications have the indication for use documented by the prescriber.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Anglican-Methodist South Canterbury Glenwood HomeTrust Board - Glenwood Home</w:t>
    </w:r>
    <w:bookmarkEnd w:id="58"/>
    <w:r>
      <w:rPr>
        <w:rFonts w:cs="Arial"/>
        <w:sz w:val="16"/>
        <w:szCs w:val="20"/>
      </w:rPr>
      <w:tab/>
      <w:t xml:space="preserve">Date of Audit: </w:t>
    </w:r>
    <w:bookmarkStart w:id="59" w:name="AuditStartDate1"/>
    <w:r>
      <w:rPr>
        <w:rFonts w:cs="Arial"/>
        <w:sz w:val="16"/>
        <w:szCs w:val="20"/>
      </w:rPr>
      <w:t>5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